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84D" w:rsidP="1AC924DE" w:rsidRDefault="00BD284D" w14:paraId="50C88D1E" w14:textId="3A297627">
      <w:pPr>
        <w:spacing w:after="100" w:afterAutospacing="on" w:line="240" w:lineRule="auto"/>
        <w:outlineLvl w:val="1"/>
        <w:rPr>
          <w:rFonts w:ascii="Times New Roman" w:hAnsi="Times New Roman" w:eastAsia="Times New Roman" w:cs="Times New Roman"/>
          <w:sz w:val="36"/>
          <w:szCs w:val="36"/>
          <w:lang w:eastAsia="en-GB"/>
        </w:rPr>
      </w:pPr>
      <w:r w:rsidRPr="1AC924DE" w:rsidR="35C31638">
        <w:rPr>
          <w:rFonts w:ascii="Times New Roman" w:hAnsi="Times New Roman" w:eastAsia="Times New Roman" w:cs="Times New Roman"/>
          <w:sz w:val="36"/>
          <w:szCs w:val="36"/>
          <w:lang w:eastAsia="en-GB"/>
        </w:rPr>
        <w:t>The Bar in Asia-Pacific</w:t>
      </w:r>
    </w:p>
    <w:p w:rsidR="1AC924DE" w:rsidP="1AC924DE" w:rsidRDefault="1AC924DE" w14:paraId="6B5B4EAD" w14:textId="700DB569">
      <w:pPr>
        <w:pStyle w:val="Normal"/>
        <w:spacing w:afterAutospacing="on" w:line="240" w:lineRule="auto"/>
        <w:outlineLvl w:val="1"/>
        <w:rPr>
          <w:rFonts w:ascii="Times New Roman" w:hAnsi="Times New Roman" w:eastAsia="Times New Roman" w:cs="Times New Roman"/>
          <w:sz w:val="36"/>
          <w:szCs w:val="36"/>
          <w:lang w:eastAsia="en-GB"/>
        </w:rPr>
      </w:pPr>
    </w:p>
    <w:p w:rsidR="00BD284D" w:rsidP="1AC924DE" w:rsidRDefault="00BD284D" w14:paraId="63A69481" w14:textId="349FFCF5">
      <w:pPr>
        <w:spacing w:after="100" w:afterAutospacing="on" w:line="240" w:lineRule="auto"/>
        <w:outlineLvl w:val="1"/>
        <w:rPr>
          <w:rFonts w:ascii="Times New Roman" w:hAnsi="Times New Roman" w:eastAsia="Times New Roman" w:cs="Times New Roman"/>
          <w:sz w:val="36"/>
          <w:szCs w:val="36"/>
          <w:lang w:eastAsia="en-GB"/>
        </w:rPr>
      </w:pPr>
      <w:r w:rsidRPr="1AC924DE" w:rsidR="35C31638">
        <w:rPr>
          <w:rFonts w:ascii="Times New Roman" w:hAnsi="Times New Roman" w:eastAsia="Times New Roman" w:cs="Times New Roman"/>
          <w:sz w:val="36"/>
          <w:szCs w:val="36"/>
          <w:lang w:eastAsia="en-GB"/>
        </w:rPr>
        <w:t>Bar coverage in the Asia-Pacific guide</w:t>
      </w:r>
    </w:p>
    <w:p w:rsidR="1AC924DE" w:rsidP="1AC924DE" w:rsidRDefault="1AC924DE" w14:paraId="1EE45008" w14:textId="5AF57A0B">
      <w:pPr>
        <w:pStyle w:val="Normal"/>
        <w:spacing w:afterAutospacing="on" w:line="240" w:lineRule="auto"/>
        <w:outlineLvl w:val="1"/>
        <w:rPr>
          <w:rFonts w:ascii="Times New Roman" w:hAnsi="Times New Roman" w:eastAsia="Times New Roman" w:cs="Times New Roman"/>
          <w:sz w:val="36"/>
          <w:szCs w:val="36"/>
          <w:lang w:eastAsia="en-GB"/>
        </w:rPr>
      </w:pPr>
    </w:p>
    <w:p w:rsidR="00D2376E" w:rsidP="1AC924DE" w:rsidRDefault="00622761" w14:paraId="0D5F2EAC" w14:textId="5C074E3A">
      <w:pPr>
        <w:spacing w:after="100" w:afterAutospacing="on" w:line="240" w:lineRule="auto"/>
        <w:outlineLvl w:val="1"/>
        <w:rPr>
          <w:rFonts w:ascii="Times New Roman" w:hAnsi="Times New Roman" w:eastAsia="Times New Roman" w:cs="Times New Roman"/>
          <w:sz w:val="24"/>
          <w:szCs w:val="24"/>
          <w:lang w:eastAsia="en-GB"/>
        </w:rPr>
      </w:pPr>
      <w:r w:rsidRPr="1AC924DE" w:rsidR="3DBA1AD3">
        <w:rPr>
          <w:rFonts w:ascii="Times New Roman" w:hAnsi="Times New Roman" w:eastAsia="Times New Roman" w:cs="Times New Roman"/>
          <w:sz w:val="24"/>
          <w:szCs w:val="24"/>
          <w:lang w:eastAsia="en-GB"/>
        </w:rPr>
        <w:t>The Chambers Asia-Pacific Guide</w:t>
      </w:r>
      <w:r w:rsidRPr="1AC924DE" w:rsidR="35C31638">
        <w:rPr>
          <w:rFonts w:ascii="Times New Roman" w:hAnsi="Times New Roman" w:eastAsia="Times New Roman" w:cs="Times New Roman"/>
          <w:sz w:val="24"/>
          <w:szCs w:val="24"/>
          <w:lang w:eastAsia="en-GB"/>
        </w:rPr>
        <w:t xml:space="preserve"> includes coverage of the Bar </w:t>
      </w:r>
      <w:r w:rsidRPr="1AC924DE" w:rsidR="36605C97">
        <w:rPr>
          <w:rFonts w:ascii="Times New Roman" w:hAnsi="Times New Roman" w:eastAsia="Times New Roman" w:cs="Times New Roman"/>
          <w:sz w:val="24"/>
          <w:szCs w:val="24"/>
          <w:lang w:eastAsia="en-GB"/>
        </w:rPr>
        <w:t xml:space="preserve">in its </w:t>
      </w:r>
      <w:r w:rsidRPr="1AC924DE" w:rsidR="3DBA1AD3">
        <w:rPr>
          <w:rFonts w:ascii="Times New Roman" w:hAnsi="Times New Roman" w:eastAsia="Times New Roman" w:cs="Times New Roman"/>
          <w:sz w:val="24"/>
          <w:szCs w:val="24"/>
          <w:lang w:eastAsia="en-GB"/>
        </w:rPr>
        <w:t xml:space="preserve">Singapore, </w:t>
      </w:r>
      <w:r w:rsidRPr="1AC924DE" w:rsidR="69297A42">
        <w:rPr>
          <w:rFonts w:ascii="Times New Roman" w:hAnsi="Times New Roman" w:eastAsia="Times New Roman" w:cs="Times New Roman"/>
          <w:sz w:val="24"/>
          <w:szCs w:val="24"/>
          <w:lang w:eastAsia="en-GB"/>
        </w:rPr>
        <w:t xml:space="preserve">Australia, </w:t>
      </w:r>
      <w:r w:rsidRPr="1AC924DE" w:rsidR="3DBA1AD3">
        <w:rPr>
          <w:rFonts w:ascii="Times New Roman" w:hAnsi="Times New Roman" w:eastAsia="Times New Roman" w:cs="Times New Roman"/>
          <w:sz w:val="24"/>
          <w:szCs w:val="24"/>
          <w:lang w:eastAsia="en-GB"/>
        </w:rPr>
        <w:t>New Zealand</w:t>
      </w:r>
      <w:r w:rsidRPr="1AC924DE" w:rsidR="69297A42">
        <w:rPr>
          <w:rFonts w:ascii="Times New Roman" w:hAnsi="Times New Roman" w:eastAsia="Times New Roman" w:cs="Times New Roman"/>
          <w:sz w:val="24"/>
          <w:szCs w:val="24"/>
          <w:lang w:eastAsia="en-GB"/>
        </w:rPr>
        <w:t xml:space="preserve"> a</w:t>
      </w:r>
      <w:r w:rsidRPr="1AC924DE" w:rsidR="3DBA1AD3">
        <w:rPr>
          <w:rFonts w:ascii="Times New Roman" w:hAnsi="Times New Roman" w:eastAsia="Times New Roman" w:cs="Times New Roman"/>
          <w:sz w:val="24"/>
          <w:szCs w:val="24"/>
          <w:lang w:eastAsia="en-GB"/>
        </w:rPr>
        <w:t>nd Papua New Guinea</w:t>
      </w:r>
      <w:r w:rsidRPr="1AC924DE" w:rsidR="16387590">
        <w:rPr>
          <w:rFonts w:ascii="Times New Roman" w:hAnsi="Times New Roman" w:eastAsia="Times New Roman" w:cs="Times New Roman"/>
          <w:sz w:val="24"/>
          <w:szCs w:val="24"/>
          <w:lang w:eastAsia="en-GB"/>
        </w:rPr>
        <w:t xml:space="preserve"> chapters</w:t>
      </w:r>
      <w:r w:rsidRPr="1AC924DE" w:rsidR="3DBA1AD3">
        <w:rPr>
          <w:rFonts w:ascii="Times New Roman" w:hAnsi="Times New Roman" w:eastAsia="Times New Roman" w:cs="Times New Roman"/>
          <w:sz w:val="24"/>
          <w:szCs w:val="24"/>
          <w:lang w:eastAsia="en-GB"/>
        </w:rPr>
        <w:t>.</w:t>
      </w:r>
      <w:r w:rsidRPr="1AC924DE" w:rsidR="36605C97">
        <w:rPr>
          <w:rFonts w:ascii="Times New Roman" w:hAnsi="Times New Roman" w:eastAsia="Times New Roman" w:cs="Times New Roman"/>
          <w:sz w:val="24"/>
          <w:szCs w:val="24"/>
          <w:lang w:eastAsia="en-GB"/>
        </w:rPr>
        <w:t xml:space="preserve"> </w:t>
      </w:r>
      <w:r w:rsidRPr="1AC924DE" w:rsidR="122F2DF6">
        <w:rPr>
          <w:rFonts w:ascii="Times New Roman" w:hAnsi="Times New Roman" w:eastAsia="Times New Roman" w:cs="Times New Roman"/>
          <w:sz w:val="24"/>
          <w:szCs w:val="24"/>
          <w:lang w:eastAsia="en-GB"/>
        </w:rPr>
        <w:t xml:space="preserve">The </w:t>
      </w:r>
      <w:r w:rsidRPr="1AC924DE" w:rsidR="36605C97">
        <w:rPr>
          <w:rFonts w:ascii="Times New Roman" w:hAnsi="Times New Roman" w:eastAsia="Times New Roman" w:cs="Times New Roman"/>
          <w:sz w:val="24"/>
          <w:szCs w:val="24"/>
          <w:lang w:eastAsia="en-GB"/>
        </w:rPr>
        <w:t>Singapore and Papua New Guinea</w:t>
      </w:r>
      <w:r w:rsidRPr="1AC924DE" w:rsidR="0815A137">
        <w:rPr>
          <w:rFonts w:ascii="Times New Roman" w:hAnsi="Times New Roman" w:eastAsia="Times New Roman" w:cs="Times New Roman"/>
          <w:sz w:val="24"/>
          <w:szCs w:val="24"/>
          <w:lang w:eastAsia="en-GB"/>
        </w:rPr>
        <w:t xml:space="preserve"> chapter</w:t>
      </w:r>
      <w:r w:rsidRPr="1AC924DE" w:rsidR="36605C97">
        <w:rPr>
          <w:rFonts w:ascii="Times New Roman" w:hAnsi="Times New Roman" w:eastAsia="Times New Roman" w:cs="Times New Roman"/>
          <w:sz w:val="24"/>
          <w:szCs w:val="24"/>
          <w:lang w:eastAsia="en-GB"/>
        </w:rPr>
        <w:t xml:space="preserve"> include rankings for individual barristers</w:t>
      </w:r>
      <w:r w:rsidRPr="1AC924DE" w:rsidR="122F2DF6">
        <w:rPr>
          <w:rFonts w:ascii="Times New Roman" w:hAnsi="Times New Roman" w:eastAsia="Times New Roman" w:cs="Times New Roman"/>
          <w:sz w:val="24"/>
          <w:szCs w:val="24"/>
          <w:lang w:eastAsia="en-GB"/>
        </w:rPr>
        <w:t xml:space="preserve">, while the Australia and New Zealand chapters rank both barristers and sets and lists. </w:t>
      </w:r>
    </w:p>
    <w:p w:rsidR="1F43D70D" w:rsidP="1F43D70D" w:rsidRDefault="1F43D70D" w14:paraId="2CD8D5A1" w14:textId="19D24BEC">
      <w:pPr>
        <w:spacing w:afterAutospacing="1" w:line="240" w:lineRule="auto"/>
        <w:outlineLvl w:val="1"/>
        <w:rPr>
          <w:rFonts w:ascii="Times New Roman" w:hAnsi="Times New Roman" w:eastAsia="Times New Roman" w:cs="Times New Roman"/>
          <w:sz w:val="24"/>
          <w:szCs w:val="24"/>
          <w:lang w:eastAsia="en-GB"/>
        </w:rPr>
      </w:pPr>
    </w:p>
    <w:p w:rsidR="00364EA4" w:rsidP="00622761" w:rsidRDefault="00622761" w14:paraId="76AF98D0" w14:textId="7D09FF8A">
      <w:pPr>
        <w:spacing w:after="100" w:afterAutospacing="1" w:line="240" w:lineRule="auto"/>
        <w:outlineLvl w:val="1"/>
        <w:rPr>
          <w:rFonts w:ascii="Times New Roman" w:hAnsi="Times New Roman" w:eastAsia="Times New Roman" w:cs="Times New Roman"/>
          <w:sz w:val="24"/>
          <w:szCs w:val="24"/>
          <w:lang w:eastAsia="en-GB"/>
        </w:rPr>
      </w:pPr>
      <w:r w:rsidRPr="1F43D70D">
        <w:rPr>
          <w:rFonts w:ascii="Times New Roman" w:hAnsi="Times New Roman" w:eastAsia="Times New Roman" w:cs="Times New Roman"/>
          <w:sz w:val="24"/>
          <w:szCs w:val="24"/>
          <w:lang w:eastAsia="en-GB"/>
        </w:rPr>
        <w:t xml:space="preserve">In addition to </w:t>
      </w:r>
      <w:r w:rsidRPr="1F43D70D" w:rsidR="000C5905">
        <w:rPr>
          <w:rFonts w:ascii="Times New Roman" w:hAnsi="Times New Roman" w:eastAsia="Times New Roman" w:cs="Times New Roman"/>
          <w:sz w:val="24"/>
          <w:szCs w:val="24"/>
          <w:lang w:eastAsia="en-GB"/>
        </w:rPr>
        <w:t>the</w:t>
      </w:r>
      <w:r w:rsidRPr="1F43D70D">
        <w:rPr>
          <w:rFonts w:ascii="Times New Roman" w:hAnsi="Times New Roman" w:eastAsia="Times New Roman" w:cs="Times New Roman"/>
          <w:sz w:val="24"/>
          <w:szCs w:val="24"/>
          <w:lang w:eastAsia="en-GB"/>
        </w:rPr>
        <w:t xml:space="preserve"> country</w:t>
      </w:r>
      <w:r w:rsidRPr="1F43D70D" w:rsidR="00F0366E">
        <w:rPr>
          <w:rFonts w:ascii="Times New Roman" w:hAnsi="Times New Roman" w:eastAsia="Times New Roman" w:cs="Times New Roman"/>
          <w:sz w:val="24"/>
          <w:szCs w:val="24"/>
          <w:lang w:eastAsia="en-GB"/>
        </w:rPr>
        <w:t>-level</w:t>
      </w:r>
      <w:r w:rsidRPr="1F43D70D" w:rsidR="00A056C3">
        <w:rPr>
          <w:rFonts w:ascii="Times New Roman" w:hAnsi="Times New Roman" w:eastAsia="Times New Roman" w:cs="Times New Roman"/>
          <w:sz w:val="24"/>
          <w:szCs w:val="24"/>
          <w:lang w:eastAsia="en-GB"/>
        </w:rPr>
        <w:t xml:space="preserve"> ranking tables</w:t>
      </w:r>
      <w:r w:rsidRPr="1F43D70D">
        <w:rPr>
          <w:rFonts w:ascii="Times New Roman" w:hAnsi="Times New Roman" w:eastAsia="Times New Roman" w:cs="Times New Roman"/>
          <w:sz w:val="24"/>
          <w:szCs w:val="24"/>
          <w:lang w:eastAsia="en-GB"/>
        </w:rPr>
        <w:t xml:space="preserve">, </w:t>
      </w:r>
      <w:r w:rsidRPr="1F43D70D" w:rsidR="000C5905">
        <w:rPr>
          <w:rFonts w:ascii="Times New Roman" w:hAnsi="Times New Roman" w:eastAsia="Times New Roman" w:cs="Times New Roman"/>
          <w:sz w:val="24"/>
          <w:szCs w:val="24"/>
          <w:lang w:eastAsia="en-GB"/>
        </w:rPr>
        <w:t>the guide</w:t>
      </w:r>
      <w:r w:rsidRPr="1F43D70D">
        <w:rPr>
          <w:rFonts w:ascii="Times New Roman" w:hAnsi="Times New Roman" w:eastAsia="Times New Roman" w:cs="Times New Roman"/>
          <w:sz w:val="24"/>
          <w:szCs w:val="24"/>
          <w:lang w:eastAsia="en-GB"/>
        </w:rPr>
        <w:t xml:space="preserve"> also </w:t>
      </w:r>
      <w:r w:rsidRPr="1F43D70D" w:rsidR="00006E21">
        <w:rPr>
          <w:rFonts w:ascii="Times New Roman" w:hAnsi="Times New Roman" w:eastAsia="Times New Roman" w:cs="Times New Roman"/>
          <w:sz w:val="24"/>
          <w:szCs w:val="24"/>
          <w:lang w:eastAsia="en-GB"/>
        </w:rPr>
        <w:t>features</w:t>
      </w:r>
      <w:r w:rsidRPr="1F43D70D">
        <w:rPr>
          <w:rFonts w:ascii="Times New Roman" w:hAnsi="Times New Roman" w:eastAsia="Times New Roman" w:cs="Times New Roman"/>
          <w:sz w:val="24"/>
          <w:szCs w:val="24"/>
          <w:lang w:eastAsia="en-GB"/>
        </w:rPr>
        <w:t xml:space="preserve"> barristers </w:t>
      </w:r>
      <w:r w:rsidRPr="1F43D70D" w:rsidR="00006E21">
        <w:rPr>
          <w:rFonts w:ascii="Times New Roman" w:hAnsi="Times New Roman" w:eastAsia="Times New Roman" w:cs="Times New Roman"/>
          <w:sz w:val="24"/>
          <w:szCs w:val="24"/>
          <w:lang w:eastAsia="en-GB"/>
        </w:rPr>
        <w:t xml:space="preserve">ranked </w:t>
      </w:r>
      <w:r w:rsidRPr="1F43D70D">
        <w:rPr>
          <w:rFonts w:ascii="Times New Roman" w:hAnsi="Times New Roman" w:eastAsia="Times New Roman" w:cs="Times New Roman"/>
          <w:sz w:val="24"/>
          <w:szCs w:val="24"/>
          <w:lang w:eastAsia="en-GB"/>
        </w:rPr>
        <w:t>at the Asia-Pacific Region level</w:t>
      </w:r>
      <w:r w:rsidRPr="1F43D70D" w:rsidR="00D2376E">
        <w:rPr>
          <w:rFonts w:ascii="Times New Roman" w:hAnsi="Times New Roman" w:eastAsia="Times New Roman" w:cs="Times New Roman"/>
          <w:sz w:val="24"/>
          <w:szCs w:val="24"/>
          <w:lang w:eastAsia="en-GB"/>
        </w:rPr>
        <w:t xml:space="preserve"> in t</w:t>
      </w:r>
      <w:r w:rsidRPr="1F43D70D" w:rsidR="00BD284D">
        <w:rPr>
          <w:rFonts w:ascii="Times New Roman" w:hAnsi="Times New Roman" w:eastAsia="Times New Roman" w:cs="Times New Roman"/>
          <w:sz w:val="24"/>
          <w:szCs w:val="24"/>
          <w:lang w:eastAsia="en-GB"/>
        </w:rPr>
        <w:t>wo tables</w:t>
      </w:r>
      <w:r w:rsidRPr="1F43D70D" w:rsidR="00364EA4">
        <w:rPr>
          <w:rFonts w:ascii="Times New Roman" w:hAnsi="Times New Roman" w:eastAsia="Times New Roman" w:cs="Times New Roman"/>
          <w:sz w:val="24"/>
          <w:szCs w:val="24"/>
          <w:lang w:eastAsia="en-GB"/>
        </w:rPr>
        <w:t xml:space="preserve">: </w:t>
      </w:r>
    </w:p>
    <w:p w:rsidR="1F43D70D" w:rsidP="1F43D70D" w:rsidRDefault="1F43D70D" w14:paraId="17B3484B" w14:textId="39F17A86">
      <w:pPr>
        <w:spacing w:afterAutospacing="1" w:line="240" w:lineRule="auto"/>
        <w:outlineLvl w:val="1"/>
        <w:rPr>
          <w:rFonts w:ascii="Times New Roman" w:hAnsi="Times New Roman" w:eastAsia="Times New Roman" w:cs="Times New Roman"/>
          <w:sz w:val="24"/>
          <w:szCs w:val="24"/>
          <w:lang w:eastAsia="en-GB"/>
        </w:rPr>
      </w:pPr>
    </w:p>
    <w:p w:rsidRPr="00364EA4" w:rsidR="00364EA4" w:rsidP="00364EA4" w:rsidRDefault="00D2376E" w14:paraId="1C532A6A" w14:textId="77777777">
      <w:pPr>
        <w:pStyle w:val="ListParagraph"/>
        <w:numPr>
          <w:ilvl w:val="0"/>
          <w:numId w:val="4"/>
        </w:numPr>
        <w:spacing w:after="100" w:afterAutospacing="1" w:line="240" w:lineRule="auto"/>
        <w:outlineLvl w:val="1"/>
        <w:rPr>
          <w:rFonts w:ascii="Times New Roman" w:hAnsi="Times New Roman" w:eastAsia="Times New Roman" w:cs="Times New Roman"/>
          <w:sz w:val="24"/>
          <w:szCs w:val="24"/>
          <w:lang w:eastAsia="en-GB"/>
        </w:rPr>
      </w:pPr>
      <w:r w:rsidRPr="00364EA4">
        <w:rPr>
          <w:rFonts w:ascii="Times New Roman" w:hAnsi="Times New Roman" w:eastAsia="Times New Roman" w:cs="Times New Roman"/>
          <w:sz w:val="24"/>
          <w:szCs w:val="24"/>
          <w:lang w:eastAsia="en-GB"/>
        </w:rPr>
        <w:t>International Arbitration - The Bar</w:t>
      </w:r>
    </w:p>
    <w:p w:rsidRPr="00364EA4" w:rsidR="00BD284D" w:rsidP="1F43D70D" w:rsidRDefault="00BD284D" w14:paraId="75552F9A" w14:textId="460293A1">
      <w:pPr>
        <w:pStyle w:val="ListParagraph"/>
        <w:numPr>
          <w:ilvl w:val="0"/>
          <w:numId w:val="4"/>
        </w:numPr>
        <w:spacing w:after="100" w:afterAutospacing="1" w:line="240" w:lineRule="auto"/>
        <w:outlineLvl w:val="1"/>
        <w:rPr>
          <w:rFonts w:ascii="Times New Roman" w:hAnsi="Times New Roman" w:eastAsia="Times New Roman" w:cs="Times New Roman"/>
          <w:sz w:val="24"/>
          <w:szCs w:val="24"/>
          <w:lang w:eastAsia="en-GB"/>
        </w:rPr>
      </w:pPr>
      <w:r w:rsidRPr="1F43D70D">
        <w:rPr>
          <w:rFonts w:ascii="Times New Roman" w:hAnsi="Times New Roman" w:eastAsia="Times New Roman" w:cs="Times New Roman"/>
          <w:sz w:val="24"/>
          <w:szCs w:val="24"/>
          <w:lang w:eastAsia="en-GB"/>
        </w:rPr>
        <w:t>International Arbitration: Most in Demand Arbitrators</w:t>
      </w:r>
    </w:p>
    <w:p w:rsidR="1F43D70D" w:rsidP="1F43D70D" w:rsidRDefault="1F43D70D" w14:paraId="5579F75F" w14:textId="5BE9C9C2">
      <w:pPr>
        <w:spacing w:afterAutospacing="1" w:line="240" w:lineRule="auto"/>
        <w:outlineLvl w:val="1"/>
        <w:rPr>
          <w:rFonts w:ascii="Times New Roman" w:hAnsi="Times New Roman" w:eastAsia="Times New Roman" w:cs="Times New Roman"/>
          <w:sz w:val="24"/>
          <w:szCs w:val="24"/>
          <w:lang w:eastAsia="en-GB"/>
        </w:rPr>
      </w:pPr>
    </w:p>
    <w:p w:rsidR="00BD284D" w:rsidP="00BD284D" w:rsidRDefault="003B456B" w14:paraId="238D029F" w14:textId="75DF25F7">
      <w:pPr>
        <w:spacing w:after="100" w:afterAutospacing="1" w:line="240" w:lineRule="auto"/>
        <w:outlineLvl w:val="1"/>
        <w:rPr>
          <w:rFonts w:ascii="Times New Roman" w:hAnsi="Times New Roman" w:eastAsia="Times New Roman" w:cs="Times New Roman"/>
          <w:sz w:val="24"/>
          <w:szCs w:val="24"/>
          <w:lang w:eastAsia="en-GB"/>
        </w:rPr>
      </w:pPr>
      <w:r w:rsidRPr="1F43D70D">
        <w:rPr>
          <w:rFonts w:ascii="Times New Roman" w:hAnsi="Times New Roman" w:eastAsia="Times New Roman" w:cs="Times New Roman"/>
          <w:sz w:val="24"/>
          <w:szCs w:val="24"/>
          <w:lang w:eastAsia="en-GB"/>
        </w:rPr>
        <w:t>Chambers</w:t>
      </w:r>
      <w:r w:rsidRPr="1F43D70D" w:rsidR="00D94D5A">
        <w:rPr>
          <w:rFonts w:ascii="Times New Roman" w:hAnsi="Times New Roman" w:eastAsia="Times New Roman" w:cs="Times New Roman"/>
          <w:sz w:val="24"/>
          <w:szCs w:val="24"/>
          <w:lang w:eastAsia="en-GB"/>
        </w:rPr>
        <w:t xml:space="preserve"> Asia-Pacific also features</w:t>
      </w:r>
      <w:r w:rsidRPr="1F43D70D" w:rsidR="00622761">
        <w:rPr>
          <w:rFonts w:ascii="Times New Roman" w:hAnsi="Times New Roman" w:eastAsia="Times New Roman" w:cs="Times New Roman"/>
          <w:sz w:val="24"/>
          <w:szCs w:val="24"/>
          <w:lang w:eastAsia="en-GB"/>
        </w:rPr>
        <w:t xml:space="preserve"> ranking tables for Senior Advocates in the India </w:t>
      </w:r>
      <w:r w:rsidRPr="1F43D70D" w:rsidR="00F0366E">
        <w:rPr>
          <w:rFonts w:ascii="Times New Roman" w:hAnsi="Times New Roman" w:eastAsia="Times New Roman" w:cs="Times New Roman"/>
          <w:sz w:val="24"/>
          <w:szCs w:val="24"/>
          <w:lang w:eastAsia="en-GB"/>
        </w:rPr>
        <w:t xml:space="preserve">chapter </w:t>
      </w:r>
      <w:r w:rsidRPr="1F43D70D" w:rsidR="00622761">
        <w:rPr>
          <w:rFonts w:ascii="Times New Roman" w:hAnsi="Times New Roman" w:eastAsia="Times New Roman" w:cs="Times New Roman"/>
          <w:sz w:val="24"/>
          <w:szCs w:val="24"/>
          <w:lang w:eastAsia="en-GB"/>
        </w:rPr>
        <w:t xml:space="preserve">and </w:t>
      </w:r>
      <w:r w:rsidRPr="1F43D70D" w:rsidR="00F0366E">
        <w:rPr>
          <w:rFonts w:ascii="Times New Roman" w:hAnsi="Times New Roman" w:eastAsia="Times New Roman" w:cs="Times New Roman"/>
          <w:sz w:val="24"/>
          <w:szCs w:val="24"/>
          <w:lang w:eastAsia="en-GB"/>
        </w:rPr>
        <w:t xml:space="preserve">Independent Advocates in the Sri Lanka chapter. </w:t>
      </w:r>
      <w:r w:rsidRPr="1F43D70D" w:rsidR="00622761">
        <w:rPr>
          <w:rFonts w:ascii="Times New Roman" w:hAnsi="Times New Roman" w:eastAsia="Times New Roman" w:cs="Times New Roman"/>
          <w:sz w:val="24"/>
          <w:szCs w:val="24"/>
          <w:lang w:eastAsia="en-GB"/>
        </w:rPr>
        <w:t xml:space="preserve"> </w:t>
      </w:r>
    </w:p>
    <w:p w:rsidR="00BE5C4B" w:rsidP="1F43D70D" w:rsidRDefault="00BE5C4B" w14:paraId="26EED1DA" w14:textId="5AEDD3A6">
      <w:pPr>
        <w:spacing w:after="100" w:afterAutospacing="1" w:line="240" w:lineRule="auto"/>
        <w:outlineLvl w:val="1"/>
        <w:rPr>
          <w:rFonts w:ascii="Times New Roman" w:hAnsi="Times New Roman" w:eastAsia="Times New Roman" w:cs="Times New Roman"/>
          <w:sz w:val="24"/>
          <w:szCs w:val="24"/>
          <w:lang w:eastAsia="en-GB"/>
        </w:rPr>
      </w:pPr>
    </w:p>
    <w:p w:rsidR="00BE5C4B" w:rsidP="1AC924DE" w:rsidRDefault="0039377D" w14:paraId="0CC0601B" w14:textId="024C3492">
      <w:pPr>
        <w:spacing w:after="100" w:afterAutospacing="on" w:line="240" w:lineRule="auto"/>
        <w:outlineLvl w:val="1"/>
        <w:rPr>
          <w:rFonts w:ascii="Times New Roman" w:hAnsi="Times New Roman" w:eastAsia="Times New Roman" w:cs="Times New Roman"/>
          <w:sz w:val="24"/>
          <w:szCs w:val="24"/>
          <w:lang w:eastAsia="en-GB"/>
        </w:rPr>
      </w:pPr>
      <w:r w:rsidRPr="1AC924DE" w:rsidR="0A12E0CB">
        <w:rPr>
          <w:rFonts w:ascii="Times New Roman" w:hAnsi="Times New Roman" w:eastAsia="Times New Roman" w:cs="Times New Roman"/>
          <w:sz w:val="24"/>
          <w:szCs w:val="24"/>
          <w:lang w:eastAsia="en-GB"/>
        </w:rPr>
        <w:t xml:space="preserve">The Greater China Region guide </w:t>
      </w:r>
      <w:r w:rsidRPr="1AC924DE" w:rsidR="5D5A9CE9">
        <w:rPr>
          <w:rFonts w:ascii="Times New Roman" w:hAnsi="Times New Roman" w:eastAsia="Times New Roman" w:cs="Times New Roman"/>
          <w:sz w:val="24"/>
          <w:szCs w:val="24"/>
          <w:lang w:eastAsia="en-GB"/>
        </w:rPr>
        <w:t xml:space="preserve">includes ranking tables </w:t>
      </w:r>
      <w:r w:rsidRPr="1AC924DE" w:rsidR="0A12E0CB">
        <w:rPr>
          <w:rFonts w:ascii="Times New Roman" w:hAnsi="Times New Roman" w:eastAsia="Times New Roman" w:cs="Times New Roman"/>
          <w:sz w:val="24"/>
          <w:szCs w:val="24"/>
          <w:lang w:eastAsia="en-GB"/>
        </w:rPr>
        <w:t>for barristers called to the Hong Kong Bar</w:t>
      </w:r>
      <w:r w:rsidRPr="1AC924DE" w:rsidR="344DB36E">
        <w:rPr>
          <w:rFonts w:ascii="Times New Roman" w:hAnsi="Times New Roman" w:eastAsia="Times New Roman" w:cs="Times New Roman"/>
          <w:sz w:val="24"/>
          <w:szCs w:val="24"/>
          <w:lang w:eastAsia="en-GB"/>
        </w:rPr>
        <w:t xml:space="preserve">. </w:t>
      </w:r>
    </w:p>
    <w:p w:rsidR="1F43D70D" w:rsidP="1F43D70D" w:rsidRDefault="1F43D70D" w14:paraId="3CBA1666" w14:textId="2C0D691D">
      <w:pPr>
        <w:spacing w:afterAutospacing="1" w:line="240" w:lineRule="auto"/>
        <w:outlineLvl w:val="1"/>
        <w:rPr>
          <w:rFonts w:ascii="Times New Roman" w:hAnsi="Times New Roman" w:eastAsia="Times New Roman" w:cs="Times New Roman"/>
          <w:sz w:val="24"/>
          <w:szCs w:val="24"/>
          <w:lang w:eastAsia="en-GB"/>
        </w:rPr>
      </w:pPr>
    </w:p>
    <w:p w:rsidRPr="00BD284D" w:rsidR="00622761" w:rsidP="1AC924DE" w:rsidRDefault="00BD284D" w14:paraId="5E62DA0F" w14:textId="73AA50E5">
      <w:pPr>
        <w:spacing w:after="100" w:afterAutospacing="on" w:line="240" w:lineRule="auto"/>
        <w:outlineLvl w:val="1"/>
        <w:rPr>
          <w:rFonts w:ascii="Times New Roman" w:hAnsi="Times New Roman" w:eastAsia="Times New Roman" w:cs="Times New Roman"/>
          <w:sz w:val="36"/>
          <w:szCs w:val="36"/>
          <w:lang w:eastAsia="en-GB"/>
        </w:rPr>
      </w:pPr>
      <w:r w:rsidRPr="1AC924DE" w:rsidR="35C31638">
        <w:rPr>
          <w:rFonts w:ascii="Times New Roman" w:hAnsi="Times New Roman" w:eastAsia="Times New Roman" w:cs="Times New Roman"/>
          <w:sz w:val="36"/>
          <w:szCs w:val="36"/>
          <w:lang w:eastAsia="en-GB"/>
        </w:rPr>
        <w:t>Getting on the Chambers Ranking Radar</w:t>
      </w:r>
    </w:p>
    <w:p w:rsidR="1AC924DE" w:rsidP="1AC924DE" w:rsidRDefault="1AC924DE" w14:paraId="6CC0B2F9" w14:textId="54C275ED">
      <w:pPr>
        <w:pStyle w:val="Normal"/>
        <w:spacing w:afterAutospacing="on" w:line="240" w:lineRule="auto"/>
        <w:outlineLvl w:val="1"/>
        <w:rPr>
          <w:rFonts w:ascii="Times New Roman" w:hAnsi="Times New Roman" w:eastAsia="Times New Roman" w:cs="Times New Roman"/>
          <w:sz w:val="36"/>
          <w:szCs w:val="36"/>
          <w:lang w:eastAsia="en-GB"/>
        </w:rPr>
      </w:pPr>
    </w:p>
    <w:p w:rsidRPr="00B61386" w:rsidR="00B61386" w:rsidP="1AC924DE" w:rsidRDefault="00B61386" w14:paraId="62537077" w14:textId="47C95819">
      <w:pPr>
        <w:spacing w:after="100" w:afterAutospacing="on" w:line="240" w:lineRule="auto"/>
        <w:outlineLvl w:val="1"/>
        <w:rPr>
          <w:rFonts w:ascii="Times New Roman" w:hAnsi="Times New Roman" w:eastAsia="Times New Roman" w:cs="Times New Roman"/>
          <w:b w:val="1"/>
          <w:bCs w:val="1"/>
          <w:sz w:val="24"/>
          <w:szCs w:val="24"/>
          <w:lang w:eastAsia="en-GB"/>
        </w:rPr>
      </w:pPr>
      <w:r w:rsidRPr="1AC924DE" w:rsidR="5616D2DD">
        <w:rPr>
          <w:rFonts w:ascii="Times New Roman" w:hAnsi="Times New Roman" w:eastAsia="Times New Roman" w:cs="Times New Roman"/>
          <w:b w:val="1"/>
          <w:bCs w:val="1"/>
          <w:sz w:val="24"/>
          <w:szCs w:val="24"/>
          <w:lang w:eastAsia="en-GB"/>
        </w:rPr>
        <w:t>General guidance</w:t>
      </w:r>
    </w:p>
    <w:p w:rsidR="1AC924DE" w:rsidP="1AC924DE" w:rsidRDefault="1AC924DE" w14:paraId="5D39F8FF" w14:textId="6E813301">
      <w:pPr>
        <w:pStyle w:val="Normal"/>
        <w:spacing w:afterAutospacing="on" w:line="240" w:lineRule="auto"/>
        <w:outlineLvl w:val="1"/>
        <w:rPr>
          <w:rFonts w:ascii="Times New Roman" w:hAnsi="Times New Roman" w:eastAsia="Times New Roman" w:cs="Times New Roman"/>
          <w:b w:val="1"/>
          <w:bCs w:val="1"/>
          <w:sz w:val="24"/>
          <w:szCs w:val="24"/>
          <w:lang w:eastAsia="en-GB"/>
        </w:rPr>
      </w:pPr>
    </w:p>
    <w:p w:rsidR="00B61386" w:rsidP="1AC924DE" w:rsidRDefault="00622761" w14:paraId="7B5466BB" w14:textId="3E45D980">
      <w:pPr>
        <w:spacing w:after="100" w:afterAutospacing="on" w:line="240" w:lineRule="auto"/>
        <w:outlineLvl w:val="1"/>
        <w:rPr>
          <w:rFonts w:ascii="Times New Roman" w:hAnsi="Times New Roman" w:eastAsia="Times New Roman" w:cs="Times New Roman"/>
          <w:sz w:val="24"/>
          <w:szCs w:val="24"/>
          <w:lang w:eastAsia="en-GB"/>
        </w:rPr>
      </w:pPr>
      <w:r w:rsidRPr="1AC924DE" w:rsidR="3DBA1AD3">
        <w:rPr>
          <w:rFonts w:ascii="Times New Roman" w:hAnsi="Times New Roman" w:eastAsia="Times New Roman" w:cs="Times New Roman"/>
          <w:sz w:val="24"/>
          <w:szCs w:val="24"/>
          <w:lang w:eastAsia="en-GB"/>
        </w:rPr>
        <w:t xml:space="preserve">The decision to </w:t>
      </w:r>
      <w:r w:rsidRPr="1AC924DE" w:rsidR="16387590">
        <w:rPr>
          <w:rFonts w:ascii="Times New Roman" w:hAnsi="Times New Roman" w:eastAsia="Times New Roman" w:cs="Times New Roman"/>
          <w:sz w:val="24"/>
          <w:szCs w:val="24"/>
          <w:lang w:eastAsia="en-GB"/>
        </w:rPr>
        <w:t>rank</w:t>
      </w:r>
      <w:r w:rsidRPr="1AC924DE" w:rsidR="3DBA1AD3">
        <w:rPr>
          <w:rFonts w:ascii="Times New Roman" w:hAnsi="Times New Roman" w:eastAsia="Times New Roman" w:cs="Times New Roman"/>
          <w:sz w:val="24"/>
          <w:szCs w:val="24"/>
          <w:lang w:eastAsia="en-GB"/>
        </w:rPr>
        <w:t xml:space="preserve"> barristers in the</w:t>
      </w:r>
      <w:r w:rsidRPr="1AC924DE" w:rsidR="35C31638">
        <w:rPr>
          <w:rFonts w:ascii="Times New Roman" w:hAnsi="Times New Roman" w:eastAsia="Times New Roman" w:cs="Times New Roman"/>
          <w:sz w:val="24"/>
          <w:szCs w:val="24"/>
          <w:lang w:eastAsia="en-GB"/>
        </w:rPr>
        <w:t xml:space="preserve"> </w:t>
      </w:r>
      <w:r w:rsidRPr="1AC924DE" w:rsidR="3DBA1AD3">
        <w:rPr>
          <w:rFonts w:ascii="Times New Roman" w:hAnsi="Times New Roman" w:eastAsia="Times New Roman" w:cs="Times New Roman"/>
          <w:sz w:val="24"/>
          <w:szCs w:val="24"/>
          <w:lang w:eastAsia="en-GB"/>
        </w:rPr>
        <w:t xml:space="preserve">tables in the Chambers </w:t>
      </w:r>
      <w:r w:rsidRPr="1AC924DE" w:rsidR="16387590">
        <w:rPr>
          <w:rFonts w:ascii="Times New Roman" w:hAnsi="Times New Roman" w:eastAsia="Times New Roman" w:cs="Times New Roman"/>
          <w:sz w:val="24"/>
          <w:szCs w:val="24"/>
          <w:lang w:eastAsia="en-GB"/>
        </w:rPr>
        <w:t>Asia-Pacific</w:t>
      </w:r>
      <w:r w:rsidRPr="1AC924DE" w:rsidR="3DBA1AD3">
        <w:rPr>
          <w:rFonts w:ascii="Times New Roman" w:hAnsi="Times New Roman" w:eastAsia="Times New Roman" w:cs="Times New Roman"/>
          <w:sz w:val="24"/>
          <w:szCs w:val="24"/>
          <w:lang w:eastAsia="en-GB"/>
        </w:rPr>
        <w:t xml:space="preserve"> Guide is based on </w:t>
      </w:r>
      <w:proofErr w:type="gramStart"/>
      <w:r w:rsidRPr="1AC924DE" w:rsidR="3DBA1AD3">
        <w:rPr>
          <w:rFonts w:ascii="Times New Roman" w:hAnsi="Times New Roman" w:eastAsia="Times New Roman" w:cs="Times New Roman"/>
          <w:sz w:val="24"/>
          <w:szCs w:val="24"/>
          <w:lang w:eastAsia="en-GB"/>
        </w:rPr>
        <w:t>a number of</w:t>
      </w:r>
      <w:proofErr w:type="gramEnd"/>
      <w:r w:rsidRPr="1AC924DE" w:rsidR="3DBA1AD3">
        <w:rPr>
          <w:rFonts w:ascii="Times New Roman" w:hAnsi="Times New Roman" w:eastAsia="Times New Roman" w:cs="Times New Roman"/>
          <w:sz w:val="24"/>
          <w:szCs w:val="24"/>
          <w:lang w:eastAsia="en-GB"/>
        </w:rPr>
        <w:t xml:space="preserve"> factors. Of primary importance are:</w:t>
      </w:r>
      <w:r>
        <w:br/>
      </w:r>
      <w:r>
        <w:br/>
      </w:r>
      <w:r w:rsidRPr="1AC924DE" w:rsidR="3DBA1AD3">
        <w:rPr>
          <w:rFonts w:ascii="Times New Roman" w:hAnsi="Times New Roman" w:eastAsia="Times New Roman" w:cs="Times New Roman"/>
          <w:sz w:val="24"/>
          <w:szCs w:val="24"/>
          <w:lang w:eastAsia="en-GB"/>
        </w:rPr>
        <w:t>1. The volume, complexity and importance of work undertaken in the year prior to publication.</w:t>
      </w:r>
      <w:r w:rsidRPr="1AC924DE" w:rsidR="5616D2DD">
        <w:rPr>
          <w:rFonts w:ascii="Times New Roman" w:hAnsi="Times New Roman" w:eastAsia="Times New Roman" w:cs="Times New Roman"/>
          <w:sz w:val="24"/>
          <w:szCs w:val="24"/>
          <w:lang w:eastAsia="en-GB"/>
        </w:rPr>
        <w:t xml:space="preserve"> </w:t>
      </w:r>
      <w:r>
        <w:br/>
      </w:r>
      <w:r>
        <w:br/>
      </w:r>
      <w:r w:rsidRPr="1AC924DE" w:rsidR="3DBA1AD3">
        <w:rPr>
          <w:rFonts w:ascii="Times New Roman" w:hAnsi="Times New Roman" w:eastAsia="Times New Roman" w:cs="Times New Roman"/>
          <w:sz w:val="24"/>
          <w:szCs w:val="24"/>
          <w:lang w:eastAsia="en-GB"/>
        </w:rPr>
        <w:t>2. Visibility and profile as reflected in the views of our many interviewees (clients, instructing solicitors and fellow barristers) who are asked to comment on a set's strength and its individual barristers' performance (whether on paper, in court or in conference) and, where appropriate, on a set’s collective strength in the market.</w:t>
      </w:r>
      <w:r>
        <w:br/>
      </w:r>
      <w:r>
        <w:br/>
      </w:r>
      <w:r w:rsidRPr="1AC924DE" w:rsidR="16387590">
        <w:rPr>
          <w:rFonts w:ascii="Times New Roman" w:hAnsi="Times New Roman" w:eastAsia="Times New Roman" w:cs="Times New Roman"/>
          <w:sz w:val="24"/>
          <w:szCs w:val="24"/>
          <w:lang w:eastAsia="en-GB"/>
        </w:rPr>
        <w:t>Individuals</w:t>
      </w:r>
      <w:r w:rsidRPr="1AC924DE" w:rsidR="3DBA1AD3">
        <w:rPr>
          <w:rFonts w:ascii="Times New Roman" w:hAnsi="Times New Roman" w:eastAsia="Times New Roman" w:cs="Times New Roman"/>
          <w:sz w:val="24"/>
          <w:szCs w:val="24"/>
          <w:lang w:eastAsia="en-GB"/>
        </w:rPr>
        <w:t xml:space="preserve"> are included in our rankings when they have received sufficient positive comment. The factors mentioned above also determine the relative positions allotted in the tables</w:t>
      </w:r>
      <w:r w:rsidRPr="1AC924DE" w:rsidR="67A7D685">
        <w:rPr>
          <w:rFonts w:ascii="Times New Roman" w:hAnsi="Times New Roman" w:eastAsia="Times New Roman" w:cs="Times New Roman"/>
          <w:sz w:val="24"/>
          <w:szCs w:val="24"/>
          <w:lang w:eastAsia="en-GB"/>
        </w:rPr>
        <w:t xml:space="preserve">. </w:t>
      </w:r>
    </w:p>
    <w:p w:rsidR="1AC924DE" w:rsidP="1AC924DE" w:rsidRDefault="1AC924DE" w14:paraId="7B6DCD67" w14:textId="3E57891E">
      <w:pPr>
        <w:pStyle w:val="Normal"/>
        <w:spacing w:afterAutospacing="on" w:line="240" w:lineRule="auto"/>
        <w:outlineLvl w:val="1"/>
        <w:rPr>
          <w:rFonts w:ascii="Times New Roman" w:hAnsi="Times New Roman" w:eastAsia="Times New Roman" w:cs="Times New Roman"/>
          <w:sz w:val="24"/>
          <w:szCs w:val="24"/>
          <w:lang w:eastAsia="en-GB"/>
        </w:rPr>
      </w:pPr>
    </w:p>
    <w:p w:rsidRPr="001F02D2" w:rsidR="003B456B" w:rsidP="1AC924DE" w:rsidRDefault="001F02D2" w14:paraId="76904E25" w14:textId="6CBA3C77">
      <w:pPr>
        <w:spacing w:after="100" w:afterAutospacing="on" w:line="240" w:lineRule="auto"/>
        <w:outlineLvl w:val="1"/>
        <w:rPr>
          <w:rFonts w:ascii="Times New Roman" w:hAnsi="Times New Roman" w:eastAsia="Times New Roman" w:cs="Times New Roman"/>
          <w:b w:val="1"/>
          <w:bCs w:val="1"/>
          <w:sz w:val="24"/>
          <w:szCs w:val="24"/>
          <w:lang w:eastAsia="en-GB"/>
        </w:rPr>
      </w:pPr>
      <w:r w:rsidRPr="1AC924DE" w:rsidR="2F9A462C">
        <w:rPr>
          <w:rFonts w:ascii="Times New Roman" w:hAnsi="Times New Roman" w:eastAsia="Times New Roman" w:cs="Times New Roman"/>
          <w:b w:val="1"/>
          <w:bCs w:val="1"/>
          <w:sz w:val="24"/>
          <w:szCs w:val="24"/>
          <w:lang w:eastAsia="en-GB"/>
        </w:rPr>
        <w:t>Chapter</w:t>
      </w:r>
      <w:r w:rsidRPr="1AC924DE" w:rsidR="26C5BFCD">
        <w:rPr>
          <w:rFonts w:ascii="Times New Roman" w:hAnsi="Times New Roman" w:eastAsia="Times New Roman" w:cs="Times New Roman"/>
          <w:b w:val="1"/>
          <w:bCs w:val="1"/>
          <w:sz w:val="24"/>
          <w:szCs w:val="24"/>
          <w:lang w:eastAsia="en-GB"/>
        </w:rPr>
        <w:t xml:space="preserve"> specific guidance</w:t>
      </w:r>
    </w:p>
    <w:p w:rsidR="1AC924DE" w:rsidP="1AC924DE" w:rsidRDefault="1AC924DE" w14:paraId="731188C7" w14:textId="60479205">
      <w:pPr>
        <w:pStyle w:val="Normal"/>
        <w:spacing w:afterAutospacing="on" w:line="240" w:lineRule="auto"/>
        <w:outlineLvl w:val="1"/>
        <w:rPr>
          <w:rFonts w:ascii="Times New Roman" w:hAnsi="Times New Roman" w:eastAsia="Times New Roman" w:cs="Times New Roman"/>
          <w:b w:val="1"/>
          <w:bCs w:val="1"/>
          <w:sz w:val="24"/>
          <w:szCs w:val="24"/>
          <w:lang w:eastAsia="en-GB"/>
        </w:rPr>
      </w:pPr>
    </w:p>
    <w:p w:rsidRPr="001F02D2" w:rsidR="001F02D2" w:rsidP="1AC924DE" w:rsidRDefault="001F02D2" w14:paraId="188870F4" w14:textId="374F3807">
      <w:pPr>
        <w:spacing w:after="100" w:afterAutospacing="on" w:line="240" w:lineRule="auto"/>
        <w:outlineLvl w:val="1"/>
        <w:rPr>
          <w:rFonts w:ascii="Times New Roman" w:hAnsi="Times New Roman" w:eastAsia="Times New Roman" w:cs="Times New Roman"/>
          <w:b w:val="1"/>
          <w:bCs w:val="1"/>
          <w:sz w:val="24"/>
          <w:szCs w:val="24"/>
          <w:lang w:eastAsia="en-GB"/>
        </w:rPr>
      </w:pPr>
      <w:r w:rsidRPr="1AC924DE" w:rsidR="2F9A462C">
        <w:rPr>
          <w:rFonts w:ascii="Times New Roman" w:hAnsi="Times New Roman" w:eastAsia="Times New Roman" w:cs="Times New Roman"/>
          <w:b w:val="1"/>
          <w:bCs w:val="1"/>
          <w:sz w:val="24"/>
          <w:szCs w:val="24"/>
          <w:lang w:eastAsia="en-GB"/>
        </w:rPr>
        <w:t>Asia-Pacific Region</w:t>
      </w:r>
    </w:p>
    <w:p w:rsidR="1AC924DE" w:rsidP="1AC924DE" w:rsidRDefault="1AC924DE" w14:paraId="413C8375" w14:textId="78389E68">
      <w:pPr>
        <w:pStyle w:val="Normal"/>
        <w:spacing w:afterAutospacing="on" w:line="240" w:lineRule="auto"/>
        <w:outlineLvl w:val="1"/>
        <w:rPr>
          <w:rFonts w:ascii="Times New Roman" w:hAnsi="Times New Roman" w:eastAsia="Times New Roman" w:cs="Times New Roman"/>
          <w:b w:val="1"/>
          <w:bCs w:val="1"/>
          <w:sz w:val="24"/>
          <w:szCs w:val="24"/>
          <w:lang w:eastAsia="en-GB"/>
        </w:rPr>
      </w:pPr>
    </w:p>
    <w:p w:rsidR="00695B05" w:rsidP="1AC924DE" w:rsidRDefault="001F02D2" w14:paraId="2EF90C1F" w14:textId="1EB47F04">
      <w:pPr>
        <w:spacing w:after="100" w:afterAutospacing="on" w:line="240" w:lineRule="auto"/>
        <w:outlineLvl w:val="1"/>
        <w:rPr>
          <w:rFonts w:ascii="Times New Roman" w:hAnsi="Times New Roman" w:eastAsia="Times New Roman" w:cs="Times New Roman"/>
          <w:sz w:val="24"/>
          <w:szCs w:val="24"/>
          <w:lang w:eastAsia="en-GB"/>
        </w:rPr>
      </w:pPr>
      <w:r w:rsidRPr="1AC924DE" w:rsidR="2F9A462C">
        <w:rPr>
          <w:rFonts w:ascii="Times New Roman" w:hAnsi="Times New Roman" w:eastAsia="Times New Roman" w:cs="Times New Roman"/>
          <w:sz w:val="24"/>
          <w:szCs w:val="24"/>
          <w:lang w:eastAsia="en-GB"/>
        </w:rPr>
        <w:t>For</w:t>
      </w:r>
      <w:r w:rsidRPr="1AC924DE" w:rsidR="26C5BFCD">
        <w:rPr>
          <w:rFonts w:ascii="Times New Roman" w:hAnsi="Times New Roman" w:eastAsia="Times New Roman" w:cs="Times New Roman"/>
          <w:sz w:val="24"/>
          <w:szCs w:val="24"/>
          <w:lang w:eastAsia="en-GB"/>
        </w:rPr>
        <w:t xml:space="preserve"> the Asia-Pacific Region International Arbitration: The Bar and Asia-Pacific Region: Arbitration: Most in Demand Arbitrators tables, we accept submissions from barristers based</w:t>
      </w:r>
      <w:r w:rsidRPr="1AC924DE" w:rsidR="2F9A462C">
        <w:rPr>
          <w:rFonts w:ascii="Times New Roman" w:hAnsi="Times New Roman" w:eastAsia="Times New Roman" w:cs="Times New Roman"/>
          <w:sz w:val="24"/>
          <w:szCs w:val="24"/>
          <w:lang w:eastAsia="en-GB"/>
        </w:rPr>
        <w:t xml:space="preserve"> full-time</w:t>
      </w:r>
      <w:r w:rsidRPr="1AC924DE" w:rsidR="26C5BFCD">
        <w:rPr>
          <w:rFonts w:ascii="Times New Roman" w:hAnsi="Times New Roman" w:eastAsia="Times New Roman" w:cs="Times New Roman"/>
          <w:sz w:val="24"/>
          <w:szCs w:val="24"/>
          <w:lang w:eastAsia="en-GB"/>
        </w:rPr>
        <w:t xml:space="preserve"> in the region and from barristers </w:t>
      </w:r>
      <w:r w:rsidRPr="1AC924DE" w:rsidR="2F9A462C">
        <w:rPr>
          <w:rFonts w:ascii="Times New Roman" w:hAnsi="Times New Roman" w:eastAsia="Times New Roman" w:cs="Times New Roman"/>
          <w:sz w:val="24"/>
          <w:szCs w:val="24"/>
          <w:lang w:eastAsia="en-GB"/>
        </w:rPr>
        <w:t xml:space="preserve">based outside the region </w:t>
      </w:r>
      <w:r w:rsidRPr="1AC924DE" w:rsidR="23A3D99C">
        <w:rPr>
          <w:rFonts w:ascii="Times New Roman" w:hAnsi="Times New Roman" w:eastAsia="Times New Roman" w:cs="Times New Roman"/>
          <w:sz w:val="24"/>
          <w:szCs w:val="24"/>
          <w:lang w:eastAsia="en-GB"/>
        </w:rPr>
        <w:t>but who</w:t>
      </w:r>
      <w:r w:rsidRPr="1AC924DE" w:rsidR="2F9A462C">
        <w:rPr>
          <w:rFonts w:ascii="Times New Roman" w:hAnsi="Times New Roman" w:eastAsia="Times New Roman" w:cs="Times New Roman"/>
          <w:sz w:val="24"/>
          <w:szCs w:val="24"/>
          <w:lang w:eastAsia="en-GB"/>
        </w:rPr>
        <w:t xml:space="preserve"> demonstrate a strong focus upon Asia-Pacific related arbitration. </w:t>
      </w:r>
    </w:p>
    <w:p w:rsidR="1AC924DE" w:rsidP="1AC924DE" w:rsidRDefault="1AC924DE" w14:paraId="6F267481" w14:textId="082EECBF">
      <w:pPr>
        <w:pStyle w:val="Normal"/>
        <w:spacing w:afterAutospacing="on" w:line="240" w:lineRule="auto"/>
        <w:outlineLvl w:val="1"/>
        <w:rPr>
          <w:rFonts w:ascii="Times New Roman" w:hAnsi="Times New Roman" w:eastAsia="Times New Roman" w:cs="Times New Roman"/>
          <w:sz w:val="24"/>
          <w:szCs w:val="24"/>
          <w:lang w:eastAsia="en-GB"/>
        </w:rPr>
      </w:pPr>
    </w:p>
    <w:p w:rsidRPr="00C964FE" w:rsidR="00C964FE" w:rsidP="1AC924DE" w:rsidRDefault="00C964FE" w14:paraId="0D797614" w14:textId="1C6DEAB4">
      <w:pPr>
        <w:spacing w:after="100" w:afterAutospacing="on" w:line="240" w:lineRule="auto"/>
        <w:outlineLvl w:val="1"/>
        <w:rPr>
          <w:rFonts w:ascii="Times New Roman" w:hAnsi="Times New Roman" w:eastAsia="Times New Roman" w:cs="Times New Roman"/>
          <w:b w:val="1"/>
          <w:bCs w:val="1"/>
          <w:sz w:val="24"/>
          <w:szCs w:val="24"/>
          <w:lang w:eastAsia="en-GB"/>
        </w:rPr>
      </w:pPr>
      <w:r w:rsidRPr="1AC924DE" w:rsidR="4BA4CD00">
        <w:rPr>
          <w:rFonts w:ascii="Times New Roman" w:hAnsi="Times New Roman" w:eastAsia="Times New Roman" w:cs="Times New Roman"/>
          <w:b w:val="1"/>
          <w:bCs w:val="1"/>
          <w:sz w:val="24"/>
          <w:szCs w:val="24"/>
          <w:lang w:eastAsia="en-GB"/>
        </w:rPr>
        <w:t xml:space="preserve">Australia </w:t>
      </w:r>
    </w:p>
    <w:p w:rsidR="1AC924DE" w:rsidP="1AC924DE" w:rsidRDefault="1AC924DE" w14:paraId="4B4C026D" w14:textId="7271C68A">
      <w:pPr>
        <w:pStyle w:val="Normal"/>
        <w:spacing w:afterAutospacing="on" w:line="240" w:lineRule="auto"/>
        <w:outlineLvl w:val="1"/>
        <w:rPr>
          <w:rFonts w:ascii="Times New Roman" w:hAnsi="Times New Roman" w:eastAsia="Times New Roman" w:cs="Times New Roman"/>
          <w:b w:val="1"/>
          <w:bCs w:val="1"/>
          <w:sz w:val="24"/>
          <w:szCs w:val="24"/>
          <w:lang w:eastAsia="en-GB"/>
        </w:rPr>
      </w:pPr>
    </w:p>
    <w:p w:rsidR="1AC924DE" w:rsidP="1AC924DE" w:rsidRDefault="1AC924DE" w14:paraId="594430EC" w14:textId="77E8CCCF">
      <w:pPr>
        <w:pStyle w:val="Normal"/>
        <w:spacing w:afterAutospacing="on" w:line="240" w:lineRule="auto"/>
        <w:outlineLvl w:val="1"/>
        <w:rPr>
          <w:rFonts w:ascii="Times New Roman" w:hAnsi="Times New Roman" w:eastAsia="Times New Roman" w:cs="Times New Roman"/>
          <w:b w:val="0"/>
          <w:bCs w:val="0"/>
          <w:sz w:val="24"/>
          <w:szCs w:val="24"/>
          <w:lang w:eastAsia="en-GB"/>
        </w:rPr>
      </w:pPr>
      <w:r w:rsidRPr="1AC924DE" w:rsidR="1AC924DE">
        <w:rPr>
          <w:rFonts w:ascii="Times New Roman" w:hAnsi="Times New Roman" w:eastAsia="Times New Roman" w:cs="Times New Roman"/>
          <w:b w:val="0"/>
          <w:bCs w:val="0"/>
          <w:sz w:val="24"/>
          <w:szCs w:val="24"/>
          <w:lang w:eastAsia="en-GB"/>
        </w:rPr>
        <w:t xml:space="preserve">The Australia chapter divides coverage of The Bar into nine practice area tables. We accept separate submissions for each of these tables. </w:t>
      </w:r>
    </w:p>
    <w:p w:rsidR="1AC924DE" w:rsidP="1AC924DE" w:rsidRDefault="1AC924DE" w14:paraId="209AAAAA" w14:textId="20CEED11">
      <w:pPr>
        <w:pStyle w:val="Normal"/>
        <w:spacing w:afterAutospacing="on" w:line="240" w:lineRule="auto"/>
        <w:outlineLvl w:val="1"/>
        <w:rPr>
          <w:rFonts w:ascii="Times New Roman" w:hAnsi="Times New Roman" w:eastAsia="Times New Roman" w:cs="Times New Roman"/>
          <w:b w:val="0"/>
          <w:bCs w:val="0"/>
          <w:sz w:val="24"/>
          <w:szCs w:val="24"/>
          <w:lang w:eastAsia="en-GB"/>
        </w:rPr>
      </w:pPr>
    </w:p>
    <w:p w:rsidR="1AC924DE" w:rsidP="1AC924DE" w:rsidRDefault="1AC924DE" w14:paraId="56D99A18" w14:textId="1F6C72BF">
      <w:pPr>
        <w:pStyle w:val="Normal"/>
        <w:spacing w:afterAutospacing="on" w:line="240" w:lineRule="auto"/>
        <w:outlineLvl w:val="1"/>
        <w:rPr>
          <w:rFonts w:ascii="Times New Roman" w:hAnsi="Times New Roman" w:eastAsia="Times New Roman" w:cs="Times New Roman"/>
          <w:b w:val="0"/>
          <w:bCs w:val="0"/>
          <w:sz w:val="24"/>
          <w:szCs w:val="24"/>
          <w:lang w:eastAsia="en-GB"/>
        </w:rPr>
      </w:pPr>
      <w:r w:rsidRPr="1AC924DE" w:rsidR="1AC924DE">
        <w:rPr>
          <w:rFonts w:ascii="Times New Roman" w:hAnsi="Times New Roman" w:eastAsia="Times New Roman" w:cs="Times New Roman"/>
          <w:b w:val="0"/>
          <w:bCs w:val="0"/>
          <w:sz w:val="24"/>
          <w:szCs w:val="24"/>
          <w:lang w:eastAsia="en-GB"/>
        </w:rPr>
        <w:t xml:space="preserve">The Dispute Resolution: The Bar table includes rankings for both lists and sets as well as individual barristers. The set rankings in this section are determined based upon the band and number of rankings achieved by member barristers both within this section and across the other eight bar tables. </w:t>
      </w:r>
    </w:p>
    <w:p w:rsidR="1AC924DE" w:rsidP="1AC924DE" w:rsidRDefault="1AC924DE" w14:paraId="5728AADF" w14:textId="506EC944">
      <w:pPr>
        <w:pStyle w:val="Normal"/>
        <w:spacing w:afterAutospacing="on" w:line="240" w:lineRule="auto"/>
        <w:outlineLvl w:val="1"/>
        <w:rPr>
          <w:rFonts w:ascii="Times New Roman" w:hAnsi="Times New Roman" w:eastAsia="Times New Roman" w:cs="Times New Roman"/>
          <w:b w:val="1"/>
          <w:bCs w:val="1"/>
          <w:sz w:val="24"/>
          <w:szCs w:val="24"/>
          <w:lang w:eastAsia="en-GB"/>
        </w:rPr>
      </w:pPr>
    </w:p>
    <w:p w:rsidR="4BA4CD00" w:rsidP="1AC924DE" w:rsidRDefault="4BA4CD00" w14:paraId="608D120C" w14:textId="5853AEB4">
      <w:pPr>
        <w:spacing w:afterAutospacing="on" w:line="240" w:lineRule="auto"/>
        <w:outlineLvl w:val="1"/>
        <w:rPr>
          <w:rFonts w:ascii="Times New Roman" w:hAnsi="Times New Roman" w:eastAsia="Times New Roman" w:cs="Times New Roman"/>
          <w:b w:val="1"/>
          <w:bCs w:val="1"/>
          <w:sz w:val="24"/>
          <w:szCs w:val="24"/>
          <w:lang w:eastAsia="en-GB"/>
        </w:rPr>
      </w:pPr>
      <w:r w:rsidRPr="1AC924DE" w:rsidR="4BA4CD00">
        <w:rPr>
          <w:rFonts w:ascii="Times New Roman" w:hAnsi="Times New Roman" w:eastAsia="Times New Roman" w:cs="Times New Roman"/>
          <w:b w:val="1"/>
          <w:bCs w:val="1"/>
          <w:sz w:val="24"/>
          <w:szCs w:val="24"/>
          <w:lang w:eastAsia="en-GB"/>
        </w:rPr>
        <w:t xml:space="preserve">New Zealand </w:t>
      </w:r>
    </w:p>
    <w:p w:rsidR="1AC924DE" w:rsidP="1AC924DE" w:rsidRDefault="1AC924DE" w14:paraId="45845BA2" w14:textId="4066D594">
      <w:pPr>
        <w:pStyle w:val="Normal"/>
        <w:spacing w:afterAutospacing="on" w:line="240" w:lineRule="auto"/>
        <w:outlineLvl w:val="1"/>
        <w:rPr>
          <w:rFonts w:ascii="Times New Roman" w:hAnsi="Times New Roman" w:eastAsia="Times New Roman" w:cs="Times New Roman"/>
          <w:b w:val="1"/>
          <w:bCs w:val="1"/>
          <w:sz w:val="24"/>
          <w:szCs w:val="24"/>
          <w:lang w:eastAsia="en-GB"/>
        </w:rPr>
      </w:pPr>
    </w:p>
    <w:p w:rsidR="1AC924DE" w:rsidP="1AC924DE" w:rsidRDefault="1AC924DE" w14:paraId="100A5E99" w14:textId="7D79BA0E">
      <w:pPr>
        <w:pStyle w:val="Normal"/>
        <w:spacing w:afterAutospacing="on" w:line="240" w:lineRule="auto"/>
        <w:outlineLvl w:val="1"/>
        <w:rPr>
          <w:rFonts w:ascii="Times New Roman" w:hAnsi="Times New Roman" w:eastAsia="Times New Roman" w:cs="Times New Roman"/>
          <w:b w:val="0"/>
          <w:bCs w:val="0"/>
          <w:sz w:val="24"/>
          <w:szCs w:val="24"/>
          <w:lang w:eastAsia="en-GB"/>
        </w:rPr>
      </w:pPr>
      <w:r w:rsidRPr="1AC924DE" w:rsidR="1AC924DE">
        <w:rPr>
          <w:rFonts w:ascii="Times New Roman" w:hAnsi="Times New Roman" w:eastAsia="Times New Roman" w:cs="Times New Roman"/>
          <w:b w:val="0"/>
          <w:bCs w:val="0"/>
          <w:sz w:val="24"/>
          <w:szCs w:val="24"/>
          <w:lang w:eastAsia="en-GB"/>
        </w:rPr>
        <w:t xml:space="preserve">For the New Zealand </w:t>
      </w:r>
      <w:r w:rsidRPr="1AC924DE" w:rsidR="1AC924DE">
        <w:rPr>
          <w:rFonts w:ascii="Times New Roman" w:hAnsi="Times New Roman" w:eastAsia="Times New Roman" w:cs="Times New Roman"/>
          <w:b w:val="0"/>
          <w:bCs w:val="0"/>
          <w:sz w:val="24"/>
          <w:szCs w:val="24"/>
          <w:lang w:eastAsia="en-GB"/>
        </w:rPr>
        <w:t>Bar</w:t>
      </w:r>
      <w:r w:rsidRPr="1AC924DE" w:rsidR="1AC924DE">
        <w:rPr>
          <w:rFonts w:ascii="Times New Roman" w:hAnsi="Times New Roman" w:eastAsia="Times New Roman" w:cs="Times New Roman"/>
          <w:b w:val="0"/>
          <w:bCs w:val="0"/>
          <w:sz w:val="24"/>
          <w:szCs w:val="24"/>
          <w:lang w:eastAsia="en-GB"/>
        </w:rPr>
        <w:t xml:space="preserve"> we have a single submission process and ask that one submission is uploaded that covers Dispute Resolution: The Bar and the practice area sub-tables for Intellectual Property, White-Collar Crime, High Net Worth and Tax.</w:t>
      </w:r>
    </w:p>
    <w:p w:rsidR="1AC924DE" w:rsidP="1AC924DE" w:rsidRDefault="1AC924DE" w14:paraId="66BA5B4F" w14:textId="45F8F9F5">
      <w:pPr>
        <w:pStyle w:val="Normal"/>
        <w:spacing w:afterAutospacing="on" w:line="240" w:lineRule="auto"/>
        <w:outlineLvl w:val="1"/>
        <w:rPr>
          <w:rFonts w:ascii="Times New Roman" w:hAnsi="Times New Roman" w:eastAsia="Times New Roman" w:cs="Times New Roman"/>
          <w:b w:val="0"/>
          <w:bCs w:val="0"/>
          <w:sz w:val="24"/>
          <w:szCs w:val="24"/>
          <w:lang w:eastAsia="en-GB"/>
        </w:rPr>
      </w:pPr>
    </w:p>
    <w:p w:rsidRPr="00D94D5A" w:rsidR="00695B05" w:rsidP="1AC924DE" w:rsidRDefault="00695B05" w14:paraId="25F01A2A" w14:textId="5DBD8EFC">
      <w:pPr>
        <w:spacing w:after="100" w:afterAutospacing="on" w:line="240" w:lineRule="auto"/>
        <w:outlineLvl w:val="1"/>
        <w:rPr>
          <w:rFonts w:ascii="Times New Roman" w:hAnsi="Times New Roman" w:eastAsia="Times New Roman" w:cs="Times New Roman"/>
          <w:b w:val="1"/>
          <w:bCs w:val="1"/>
          <w:sz w:val="24"/>
          <w:szCs w:val="24"/>
          <w:lang w:eastAsia="en-GB"/>
        </w:rPr>
      </w:pPr>
      <w:r w:rsidRPr="1AC924DE" w:rsidR="14F18F4A">
        <w:rPr>
          <w:rFonts w:ascii="Times New Roman" w:hAnsi="Times New Roman" w:eastAsia="Times New Roman" w:cs="Times New Roman"/>
          <w:b w:val="1"/>
          <w:bCs w:val="1"/>
          <w:sz w:val="24"/>
          <w:szCs w:val="24"/>
          <w:lang w:eastAsia="en-GB"/>
        </w:rPr>
        <w:t>Singapore</w:t>
      </w:r>
      <w:r>
        <w:br/>
      </w:r>
    </w:p>
    <w:p w:rsidRPr="00006E21" w:rsidR="00695B05" w:rsidP="1AC924DE" w:rsidRDefault="00695B05" w14:paraId="147C800A" w14:textId="06E2E7D4">
      <w:pPr>
        <w:spacing w:after="100" w:afterAutospacing="on" w:line="240" w:lineRule="auto"/>
        <w:outlineLvl w:val="1"/>
        <w:rPr>
          <w:rFonts w:ascii="Times New Roman" w:hAnsi="Times New Roman" w:eastAsia="Times New Roman" w:cs="Times New Roman"/>
          <w:sz w:val="24"/>
          <w:szCs w:val="24"/>
          <w:lang w:eastAsia="en-GB"/>
        </w:rPr>
      </w:pPr>
      <w:r w:rsidRPr="1AC924DE" w:rsidR="14F18F4A">
        <w:rPr>
          <w:rFonts w:ascii="Times New Roman" w:hAnsi="Times New Roman" w:eastAsia="Times New Roman" w:cs="Times New Roman"/>
          <w:sz w:val="24"/>
          <w:szCs w:val="24"/>
          <w:lang w:eastAsia="en-GB"/>
        </w:rPr>
        <w:t>For the Singapore: Dispute Resolution: Arbitration: The Bar and Singapore Dispute Resolution: Most in Demand Arbitrators tables we consider barristers based full-time in Singapore and those whose primary base is overseas but</w:t>
      </w:r>
      <w:r w:rsidRPr="1AC924DE" w:rsidR="14F18F4A">
        <w:rPr>
          <w:rFonts w:ascii="Times New Roman" w:hAnsi="Times New Roman" w:eastAsia="Times New Roman" w:cs="Times New Roman"/>
          <w:sz w:val="24"/>
          <w:szCs w:val="24"/>
          <w:lang w:eastAsia="en-GB"/>
        </w:rPr>
        <w:t xml:space="preserve"> who</w:t>
      </w:r>
      <w:r w:rsidRPr="1AC924DE" w:rsidR="14F18F4A">
        <w:rPr>
          <w:rFonts w:ascii="Times New Roman" w:hAnsi="Times New Roman" w:eastAsia="Times New Roman" w:cs="Times New Roman"/>
          <w:sz w:val="24"/>
          <w:szCs w:val="24"/>
          <w:lang w:eastAsia="en-GB"/>
        </w:rPr>
        <w:t xml:space="preserve"> demonstrate a strong focus upon Singapore-related arbitration.</w:t>
      </w:r>
    </w:p>
    <w:p w:rsidR="1AC924DE" w:rsidP="1AC924DE" w:rsidRDefault="1AC924DE" w14:paraId="5D5C3B4C" w14:textId="5BB233C5">
      <w:pPr>
        <w:pStyle w:val="Normal"/>
        <w:spacing w:afterAutospacing="on" w:line="240" w:lineRule="auto"/>
        <w:outlineLvl w:val="1"/>
        <w:rPr>
          <w:rFonts w:ascii="Times New Roman" w:hAnsi="Times New Roman" w:eastAsia="Times New Roman" w:cs="Times New Roman"/>
          <w:sz w:val="24"/>
          <w:szCs w:val="24"/>
          <w:lang w:eastAsia="en-GB"/>
        </w:rPr>
      </w:pPr>
    </w:p>
    <w:p w:rsidR="3DBA1AD3" w:rsidP="1AC924DE" w:rsidRDefault="3DBA1AD3" w14:paraId="1E74F5FE" w14:textId="66EA0B65">
      <w:pPr>
        <w:spacing w:afterAutospacing="on" w:line="240" w:lineRule="auto"/>
        <w:outlineLvl w:val="1"/>
        <w:rPr>
          <w:rFonts w:ascii="Times New Roman" w:hAnsi="Times New Roman" w:eastAsia="Times New Roman" w:cs="Times New Roman"/>
          <w:sz w:val="36"/>
          <w:szCs w:val="36"/>
          <w:lang w:eastAsia="en-GB"/>
        </w:rPr>
      </w:pPr>
      <w:r w:rsidRPr="1AC924DE" w:rsidR="3DBA1AD3">
        <w:rPr>
          <w:rFonts w:ascii="Times New Roman" w:hAnsi="Times New Roman" w:eastAsia="Times New Roman" w:cs="Times New Roman"/>
          <w:sz w:val="36"/>
          <w:szCs w:val="36"/>
          <w:lang w:eastAsia="en-GB"/>
        </w:rPr>
        <w:t>Chambers Bar: Submission Guidelines</w:t>
      </w:r>
      <w:r>
        <w:br/>
      </w:r>
    </w:p>
    <w:p w:rsidRPr="00622761" w:rsidR="00622761" w:rsidP="1AC924DE" w:rsidRDefault="00622761" w14:paraId="75E0AB90" w14:textId="77777777">
      <w:pPr>
        <w:spacing w:after="100" w:afterAutospacing="on" w:line="240" w:lineRule="auto"/>
        <w:rPr>
          <w:rFonts w:ascii="Times New Roman" w:hAnsi="Times New Roman" w:eastAsia="Times New Roman" w:cs="Times New Roman"/>
          <w:sz w:val="24"/>
          <w:szCs w:val="24"/>
          <w:lang w:eastAsia="en-GB"/>
        </w:rPr>
      </w:pPr>
      <w:r w:rsidRPr="1AC924DE" w:rsidR="3DBA1AD3">
        <w:rPr>
          <w:rFonts w:ascii="Times New Roman" w:hAnsi="Times New Roman" w:eastAsia="Times New Roman" w:cs="Times New Roman"/>
          <w:sz w:val="24"/>
          <w:szCs w:val="24"/>
          <w:lang w:eastAsia="en-GB"/>
        </w:rPr>
        <w:t>We encourage sets to prepare submissions to assist with our research. Although these are optional and not a prerequisite for inclusion, they serve a dual function:</w:t>
      </w:r>
    </w:p>
    <w:p w:rsidR="1AC924DE" w:rsidP="1AC924DE" w:rsidRDefault="1AC924DE" w14:paraId="7690F193" w14:textId="6527C991">
      <w:pPr>
        <w:pStyle w:val="Normal"/>
        <w:spacing w:afterAutospacing="on" w:line="240" w:lineRule="auto"/>
        <w:rPr>
          <w:rFonts w:ascii="Times New Roman" w:hAnsi="Times New Roman" w:eastAsia="Times New Roman" w:cs="Times New Roman"/>
          <w:sz w:val="24"/>
          <w:szCs w:val="24"/>
          <w:lang w:eastAsia="en-GB"/>
        </w:rPr>
      </w:pPr>
    </w:p>
    <w:p w:rsidRPr="00622761" w:rsidR="00622761" w:rsidP="00622761" w:rsidRDefault="00622761" w14:paraId="4722AF05"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en-GB"/>
        </w:rPr>
      </w:pPr>
      <w:r w:rsidRPr="00622761">
        <w:rPr>
          <w:rFonts w:ascii="Times New Roman" w:hAnsi="Times New Roman" w:eastAsia="Times New Roman" w:cs="Times New Roman"/>
          <w:sz w:val="24"/>
          <w:szCs w:val="24"/>
          <w:lang w:eastAsia="en-GB"/>
        </w:rPr>
        <w:t xml:space="preserve"> Submissions tell us about the work of individuals at the set, both those previously ranked and those whom the set believes should be considered for inclusion in a practice area for the first time. They attest to the continuing activity of individuals, ensure accuracy of factual information and guard against publication of confidential matters. </w:t>
      </w:r>
      <w:r w:rsidRPr="00622761">
        <w:rPr>
          <w:rFonts w:ascii="Times New Roman" w:hAnsi="Times New Roman" w:eastAsia="Times New Roman" w:cs="Times New Roman"/>
          <w:b/>
          <w:bCs/>
          <w:sz w:val="24"/>
          <w:szCs w:val="24"/>
          <w:lang w:eastAsia="en-GB"/>
        </w:rPr>
        <w:t>Each</w:t>
      </w:r>
      <w:r w:rsidRPr="00622761">
        <w:rPr>
          <w:rFonts w:ascii="Times New Roman" w:hAnsi="Times New Roman" w:eastAsia="Times New Roman" w:cs="Times New Roman"/>
          <w:sz w:val="24"/>
          <w:szCs w:val="24"/>
          <w:lang w:eastAsia="en-GB"/>
        </w:rPr>
        <w:t xml:space="preserve"> </w:t>
      </w:r>
      <w:r w:rsidRPr="00622761">
        <w:rPr>
          <w:rFonts w:ascii="Times New Roman" w:hAnsi="Times New Roman" w:eastAsia="Times New Roman" w:cs="Times New Roman"/>
          <w:b/>
          <w:bCs/>
          <w:sz w:val="24"/>
          <w:szCs w:val="24"/>
          <w:lang w:eastAsia="en-GB"/>
        </w:rPr>
        <w:t>barrister can put forward up to 5 cases for consideration</w:t>
      </w:r>
      <w:r w:rsidRPr="00622761">
        <w:rPr>
          <w:rFonts w:ascii="Times New Roman" w:hAnsi="Times New Roman" w:eastAsia="Times New Roman" w:cs="Times New Roman"/>
          <w:sz w:val="24"/>
          <w:szCs w:val="24"/>
          <w:lang w:eastAsia="en-GB"/>
        </w:rPr>
        <w:t>.</w:t>
      </w:r>
    </w:p>
    <w:p w:rsidRPr="00622761" w:rsidR="00D94D5A" w:rsidP="1AC924DE" w:rsidRDefault="00622761" w14:paraId="1780C77A" w14:textId="0ECDC4D1">
      <w:pPr>
        <w:numPr>
          <w:ilvl w:val="0"/>
          <w:numId w:val="1"/>
        </w:numPr>
        <w:spacing w:before="100" w:beforeAutospacing="on" w:after="100" w:afterAutospacing="on" w:line="240" w:lineRule="auto"/>
        <w:rPr>
          <w:rFonts w:ascii="Times New Roman" w:hAnsi="Times New Roman" w:eastAsia="Times New Roman" w:cs="Times New Roman"/>
          <w:sz w:val="24"/>
          <w:szCs w:val="24"/>
          <w:lang w:eastAsia="en-GB"/>
        </w:rPr>
      </w:pPr>
      <w:r w:rsidRPr="1AC924DE" w:rsidR="3DBA1AD3">
        <w:rPr>
          <w:rFonts w:ascii="Times New Roman" w:hAnsi="Times New Roman" w:eastAsia="Times New Roman" w:cs="Times New Roman"/>
          <w:sz w:val="24"/>
          <w:szCs w:val="24"/>
          <w:lang w:eastAsia="en-GB"/>
        </w:rPr>
        <w:t xml:space="preserve"> Submissions provide us with referee contacts that our researchers can use to obtain informed views on the members of chambers and their work. </w:t>
      </w:r>
      <w:r w:rsidRPr="1AC924DE" w:rsidR="3DBA1AD3">
        <w:rPr>
          <w:rFonts w:ascii="Times New Roman" w:hAnsi="Times New Roman" w:eastAsia="Times New Roman" w:cs="Times New Roman"/>
          <w:b w:val="1"/>
          <w:bCs w:val="1"/>
          <w:sz w:val="24"/>
          <w:szCs w:val="24"/>
          <w:lang w:eastAsia="en-GB"/>
        </w:rPr>
        <w:t>Each barrister can put forward up to 5 references per section.</w:t>
      </w:r>
    </w:p>
    <w:p w:rsidR="1AC924DE" w:rsidP="1AC924DE" w:rsidRDefault="1AC924DE" w14:paraId="5A0F773A" w14:textId="2FBF43A6">
      <w:pPr>
        <w:pStyle w:val="Normal"/>
        <w:spacing w:beforeAutospacing="on" w:afterAutospacing="on" w:line="240" w:lineRule="auto"/>
        <w:rPr>
          <w:rFonts w:ascii="Times New Roman" w:hAnsi="Times New Roman" w:eastAsia="Times New Roman" w:cs="Times New Roman"/>
          <w:b w:val="1"/>
          <w:bCs w:val="1"/>
          <w:sz w:val="24"/>
          <w:szCs w:val="24"/>
          <w:lang w:eastAsia="en-GB"/>
        </w:rPr>
      </w:pPr>
    </w:p>
    <w:p w:rsidR="1AC924DE" w:rsidP="1AC924DE" w:rsidRDefault="1AC924DE" w14:paraId="0568698F" w14:textId="4B71BED2">
      <w:pPr>
        <w:pStyle w:val="Normal"/>
        <w:spacing w:beforeAutospacing="on" w:afterAutospacing="on" w:line="240" w:lineRule="auto"/>
        <w:rPr>
          <w:rFonts w:ascii="Times New Roman" w:hAnsi="Times New Roman" w:eastAsia="Times New Roman" w:cs="Times New Roman"/>
          <w:b w:val="1"/>
          <w:bCs w:val="1"/>
          <w:sz w:val="24"/>
          <w:szCs w:val="24"/>
          <w:lang w:eastAsia="en-GB"/>
        </w:rPr>
      </w:pPr>
      <w:r w:rsidRPr="1AC924DE" w:rsidR="1AC924DE">
        <w:rPr>
          <w:rFonts w:ascii="Times New Roman" w:hAnsi="Times New Roman" w:eastAsia="Times New Roman" w:cs="Times New Roman"/>
          <w:b w:val="1"/>
          <w:bCs w:val="1"/>
          <w:sz w:val="24"/>
          <w:szCs w:val="24"/>
          <w:lang w:eastAsia="en-GB"/>
        </w:rPr>
        <w:t xml:space="preserve">Referees </w:t>
      </w:r>
    </w:p>
    <w:p w:rsidR="1AC924DE" w:rsidP="1AC924DE" w:rsidRDefault="1AC924DE" w14:paraId="45ADECC4" w14:textId="132E3AB4">
      <w:pPr>
        <w:pStyle w:val="Normal"/>
        <w:spacing w:beforeAutospacing="on" w:afterAutospacing="on" w:line="240" w:lineRule="auto"/>
        <w:rPr>
          <w:rFonts w:ascii="Times New Roman" w:hAnsi="Times New Roman" w:eastAsia="Times New Roman" w:cs="Times New Roman"/>
          <w:b w:val="1"/>
          <w:bCs w:val="1"/>
          <w:sz w:val="24"/>
          <w:szCs w:val="24"/>
          <w:lang w:eastAsia="en-GB"/>
        </w:rPr>
      </w:pPr>
    </w:p>
    <w:p w:rsidR="1AC924DE" w:rsidP="1AC924DE" w:rsidRDefault="1AC924DE" w14:paraId="110DB283" w14:textId="140BA4DC">
      <w:pPr>
        <w:pStyle w:val="Normal"/>
        <w:numPr>
          <w:ilvl w:val="0"/>
          <w:numId w:val="1"/>
        </w:numPr>
        <w:spacing w:beforeAutospacing="on" w:afterAutospacing="on" w:line="240" w:lineRule="auto"/>
        <w:rPr>
          <w:sz w:val="24"/>
          <w:szCs w:val="24"/>
          <w:lang w:eastAsia="en-GB"/>
        </w:rPr>
      </w:pPr>
      <w:r w:rsidRPr="1AC924DE" w:rsidR="1AC924DE">
        <w:rPr>
          <w:rFonts w:ascii="Times New Roman" w:hAnsi="Times New Roman" w:eastAsia="Times New Roman" w:cs="Times New Roman"/>
          <w:b w:val="0"/>
          <w:bCs w:val="0"/>
          <w:sz w:val="24"/>
          <w:szCs w:val="24"/>
          <w:lang w:eastAsia="en-GB"/>
        </w:rPr>
        <w:t>On the referee sheet,</w:t>
      </w:r>
      <w:r w:rsidRPr="1AC924DE" w:rsidR="1AC924DE">
        <w:rPr>
          <w:rFonts w:ascii="Times New Roman" w:hAnsi="Times New Roman" w:eastAsia="Times New Roman" w:cs="Times New Roman"/>
          <w:b w:val="1"/>
          <w:bCs w:val="1"/>
          <w:sz w:val="24"/>
          <w:szCs w:val="24"/>
          <w:lang w:eastAsia="en-GB"/>
        </w:rPr>
        <w:t xml:space="preserve"> the name of the barrister(s) for whom the referee is being put forward should be included in the ‘Referring lawyer’ column</w:t>
      </w:r>
      <w:r w:rsidRPr="1AC924DE" w:rsidR="1AC924DE">
        <w:rPr>
          <w:rFonts w:ascii="Times New Roman" w:hAnsi="Times New Roman" w:eastAsia="Times New Roman" w:cs="Times New Roman"/>
          <w:b w:val="0"/>
          <w:bCs w:val="0"/>
          <w:sz w:val="24"/>
          <w:szCs w:val="24"/>
          <w:lang w:eastAsia="en-GB"/>
        </w:rPr>
        <w:t xml:space="preserve"> on the spreadsheet. Where a referee is put forward for multiple barristers, please include multiple names separated by commas. </w:t>
      </w:r>
    </w:p>
    <w:p w:rsidR="1AC924DE" w:rsidP="1AC924DE" w:rsidRDefault="1AC924DE" w14:paraId="4262ED2D" w14:textId="2290087B">
      <w:pPr>
        <w:pStyle w:val="Normal"/>
        <w:numPr>
          <w:ilvl w:val="0"/>
          <w:numId w:val="1"/>
        </w:numPr>
        <w:spacing w:beforeAutospacing="on" w:afterAutospacing="on" w:line="240" w:lineRule="auto"/>
        <w:rPr>
          <w:sz w:val="24"/>
          <w:szCs w:val="24"/>
          <w:lang w:eastAsia="en-GB"/>
        </w:rPr>
      </w:pPr>
      <w:r w:rsidRPr="1AC924DE" w:rsidR="1AC924DE">
        <w:rPr>
          <w:rFonts w:ascii="Times New Roman" w:hAnsi="Times New Roman" w:eastAsia="Times New Roman" w:cs="Times New Roman"/>
          <w:b w:val="0"/>
          <w:bCs w:val="0"/>
          <w:sz w:val="24"/>
          <w:szCs w:val="24"/>
          <w:lang w:eastAsia="en-GB"/>
        </w:rPr>
        <w:t xml:space="preserve">We generally advise that the </w:t>
      </w:r>
      <w:proofErr w:type="gramStart"/>
      <w:r w:rsidRPr="1AC924DE" w:rsidR="1AC924DE">
        <w:rPr>
          <w:rFonts w:ascii="Times New Roman" w:hAnsi="Times New Roman" w:eastAsia="Times New Roman" w:cs="Times New Roman"/>
          <w:b w:val="0"/>
          <w:bCs w:val="0"/>
          <w:sz w:val="24"/>
          <w:szCs w:val="24"/>
          <w:lang w:eastAsia="en-GB"/>
        </w:rPr>
        <w:t>main focus</w:t>
      </w:r>
      <w:proofErr w:type="gramEnd"/>
      <w:r w:rsidRPr="1AC924DE" w:rsidR="1AC924DE">
        <w:rPr>
          <w:rFonts w:ascii="Times New Roman" w:hAnsi="Times New Roman" w:eastAsia="Times New Roman" w:cs="Times New Roman"/>
          <w:b w:val="0"/>
          <w:bCs w:val="0"/>
          <w:sz w:val="24"/>
          <w:szCs w:val="24"/>
          <w:lang w:eastAsia="en-GB"/>
        </w:rPr>
        <w:t xml:space="preserve"> for the referee list should be upon instructing solicitors, although we do also welcome other types of </w:t>
      </w:r>
      <w:proofErr w:type="gramStart"/>
      <w:r w:rsidRPr="1AC924DE" w:rsidR="1AC924DE">
        <w:rPr>
          <w:rFonts w:ascii="Times New Roman" w:hAnsi="Times New Roman" w:eastAsia="Times New Roman" w:cs="Times New Roman"/>
          <w:b w:val="0"/>
          <w:bCs w:val="0"/>
          <w:sz w:val="24"/>
          <w:szCs w:val="24"/>
          <w:lang w:eastAsia="en-GB"/>
        </w:rPr>
        <w:t>referee</w:t>
      </w:r>
      <w:proofErr w:type="gramEnd"/>
      <w:r w:rsidRPr="1AC924DE" w:rsidR="1AC924DE">
        <w:rPr>
          <w:rFonts w:ascii="Times New Roman" w:hAnsi="Times New Roman" w:eastAsia="Times New Roman" w:cs="Times New Roman"/>
          <w:b w:val="0"/>
          <w:bCs w:val="0"/>
          <w:sz w:val="24"/>
          <w:szCs w:val="24"/>
          <w:lang w:eastAsia="en-GB"/>
        </w:rPr>
        <w:t xml:space="preserve"> that the barrister may have worked with recently. </w:t>
      </w:r>
    </w:p>
    <w:p w:rsidR="1AC924DE" w:rsidP="1AC924DE" w:rsidRDefault="1AC924DE" w14:paraId="65866292" w14:textId="3C41138C">
      <w:pPr>
        <w:pStyle w:val="Normal"/>
        <w:numPr>
          <w:ilvl w:val="0"/>
          <w:numId w:val="1"/>
        </w:numPr>
        <w:spacing w:beforeAutospacing="on" w:afterAutospacing="on" w:line="240" w:lineRule="auto"/>
        <w:rPr>
          <w:sz w:val="24"/>
          <w:szCs w:val="24"/>
          <w:lang w:eastAsia="en-GB"/>
        </w:rPr>
      </w:pPr>
      <w:r w:rsidRPr="1AC924DE" w:rsidR="1AC924DE">
        <w:rPr>
          <w:rFonts w:ascii="Times New Roman" w:hAnsi="Times New Roman" w:eastAsia="Times New Roman" w:cs="Times New Roman"/>
          <w:b w:val="0"/>
          <w:bCs w:val="0"/>
          <w:sz w:val="24"/>
          <w:szCs w:val="24"/>
          <w:lang w:eastAsia="en-GB"/>
        </w:rPr>
        <w:t xml:space="preserve">Please note that stablemates from within the same set or list should not be put forward as referees. </w:t>
      </w:r>
    </w:p>
    <w:p w:rsidRPr="00622761" w:rsidR="00622761" w:rsidP="00622761" w:rsidRDefault="00622761" w14:paraId="799A01F1" w14:textId="77777777">
      <w:pPr>
        <w:spacing w:after="100" w:afterAutospacing="1" w:line="240" w:lineRule="auto"/>
        <w:rPr>
          <w:rFonts w:ascii="Times New Roman" w:hAnsi="Times New Roman" w:eastAsia="Times New Roman" w:cs="Times New Roman"/>
          <w:sz w:val="24"/>
          <w:szCs w:val="24"/>
          <w:lang w:eastAsia="en-GB"/>
        </w:rPr>
      </w:pPr>
      <w:r w:rsidRPr="00622761">
        <w:rPr>
          <w:rFonts w:ascii="Times New Roman" w:hAnsi="Times New Roman" w:eastAsia="Times New Roman" w:cs="Times New Roman"/>
          <w:sz w:val="24"/>
          <w:szCs w:val="24"/>
          <w:lang w:eastAsia="en-GB"/>
        </w:rPr>
        <w:br/>
      </w:r>
      <w:r w:rsidRPr="00622761">
        <w:rPr>
          <w:rFonts w:ascii="Times New Roman" w:hAnsi="Times New Roman" w:eastAsia="Times New Roman" w:cs="Times New Roman"/>
          <w:sz w:val="24"/>
          <w:szCs w:val="24"/>
          <w:lang w:eastAsia="en-GB"/>
        </w:rPr>
        <w:t>Each set is provided with a username and password with which to upload its submissions. We ask that</w:t>
      </w:r>
      <w:r w:rsidRPr="00622761">
        <w:rPr>
          <w:rFonts w:ascii="Times New Roman" w:hAnsi="Times New Roman" w:eastAsia="Times New Roman" w:cs="Times New Roman"/>
          <w:b/>
          <w:bCs/>
          <w:sz w:val="24"/>
          <w:szCs w:val="24"/>
          <w:lang w:eastAsia="en-GB"/>
        </w:rPr>
        <w:t> a single submission document be uploaded for each practice area</w:t>
      </w:r>
      <w:r w:rsidRPr="00622761">
        <w:rPr>
          <w:rFonts w:ascii="Times New Roman" w:hAnsi="Times New Roman" w:eastAsia="Times New Roman" w:cs="Times New Roman"/>
          <w:sz w:val="24"/>
          <w:szCs w:val="24"/>
          <w:lang w:eastAsia="en-GB"/>
        </w:rPr>
        <w:t>. This applies whether or not the set or its barristers have been ranked before. Additionally, you may put the referee contacts on separate spreadsheets for each practice area.</w:t>
      </w:r>
    </w:p>
    <w:p w:rsidRPr="00622761" w:rsidR="00622761" w:rsidP="00622761" w:rsidRDefault="00622761" w14:paraId="24497AE8" w14:textId="36D5A1ED">
      <w:pPr>
        <w:spacing w:after="100" w:afterAutospacing="1" w:line="240" w:lineRule="auto"/>
        <w:rPr>
          <w:rFonts w:ascii="Times New Roman" w:hAnsi="Times New Roman" w:eastAsia="Times New Roman" w:cs="Times New Roman"/>
          <w:sz w:val="24"/>
          <w:szCs w:val="24"/>
          <w:lang w:eastAsia="en-GB"/>
        </w:rPr>
      </w:pPr>
      <w:r w:rsidRPr="00622761">
        <w:rPr>
          <w:rFonts w:ascii="Times New Roman" w:hAnsi="Times New Roman" w:eastAsia="Times New Roman" w:cs="Times New Roman"/>
          <w:sz w:val="24"/>
          <w:szCs w:val="24"/>
          <w:lang w:eastAsia="en-GB"/>
        </w:rPr>
        <w:t>The </w:t>
      </w:r>
      <w:hyperlink w:history="1" r:id="rId8">
        <w:r w:rsidRPr="00622761">
          <w:rPr>
            <w:rFonts w:ascii="Times New Roman" w:hAnsi="Times New Roman" w:eastAsia="Times New Roman" w:cs="Times New Roman"/>
            <w:color w:val="0000FF"/>
            <w:sz w:val="24"/>
            <w:szCs w:val="24"/>
            <w:u w:val="single"/>
            <w:lang w:eastAsia="en-GB"/>
          </w:rPr>
          <w:t>Research Schedule</w:t>
        </w:r>
      </w:hyperlink>
      <w:r w:rsidRPr="00622761">
        <w:rPr>
          <w:rFonts w:ascii="Times New Roman" w:hAnsi="Times New Roman" w:eastAsia="Times New Roman" w:cs="Times New Roman"/>
          <w:sz w:val="24"/>
          <w:szCs w:val="24"/>
          <w:lang w:eastAsia="en-GB"/>
        </w:rPr>
        <w:t> shows the deadline for each submission.</w:t>
      </w:r>
    </w:p>
    <w:p w:rsidRPr="00622761" w:rsidR="00622761" w:rsidP="1AC924DE" w:rsidRDefault="00622761" w14:paraId="31FCCF9A" w14:textId="77777777">
      <w:pPr>
        <w:spacing w:after="100" w:afterAutospacing="on" w:line="240" w:lineRule="auto"/>
        <w:rPr>
          <w:rFonts w:ascii="Times New Roman" w:hAnsi="Times New Roman" w:eastAsia="Times New Roman" w:cs="Times New Roman"/>
          <w:sz w:val="24"/>
          <w:szCs w:val="24"/>
          <w:lang w:eastAsia="en-GB"/>
        </w:rPr>
      </w:pPr>
      <w:r>
        <w:br/>
      </w:r>
      <w:r w:rsidRPr="1AC924DE" w:rsidR="3DBA1AD3">
        <w:rPr>
          <w:rFonts w:ascii="Times New Roman" w:hAnsi="Times New Roman" w:eastAsia="Times New Roman" w:cs="Times New Roman"/>
          <w:sz w:val="24"/>
          <w:szCs w:val="24"/>
          <w:lang w:eastAsia="en-GB"/>
        </w:rPr>
        <w:t>Please note:</w:t>
      </w:r>
    </w:p>
    <w:p w:rsidR="1AC924DE" w:rsidP="1AC924DE" w:rsidRDefault="1AC924DE" w14:paraId="6E18663C" w14:textId="75D31629">
      <w:pPr>
        <w:pStyle w:val="Normal"/>
        <w:spacing w:afterAutospacing="on" w:line="240" w:lineRule="auto"/>
        <w:rPr>
          <w:rFonts w:ascii="Times New Roman" w:hAnsi="Times New Roman" w:eastAsia="Times New Roman" w:cs="Times New Roman"/>
          <w:sz w:val="24"/>
          <w:szCs w:val="24"/>
          <w:lang w:eastAsia="en-GB"/>
        </w:rPr>
      </w:pPr>
    </w:p>
    <w:p w:rsidRPr="00622761" w:rsidR="00622761" w:rsidP="00622761" w:rsidRDefault="00622761" w14:paraId="4AB51F10" w14:textId="3CB1CFC6">
      <w:pPr>
        <w:numPr>
          <w:ilvl w:val="0"/>
          <w:numId w:val="2"/>
        </w:numPr>
        <w:spacing w:before="100" w:beforeAutospacing="1" w:after="100" w:afterAutospacing="1" w:line="240" w:lineRule="auto"/>
        <w:rPr>
          <w:rFonts w:ascii="Times New Roman" w:hAnsi="Times New Roman" w:eastAsia="Times New Roman" w:cs="Times New Roman"/>
          <w:sz w:val="24"/>
          <w:szCs w:val="24"/>
          <w:lang w:eastAsia="en-GB"/>
        </w:rPr>
      </w:pPr>
      <w:r w:rsidRPr="00622761">
        <w:rPr>
          <w:rFonts w:ascii="Times New Roman" w:hAnsi="Times New Roman" w:eastAsia="Times New Roman" w:cs="Times New Roman"/>
          <w:sz w:val="24"/>
          <w:szCs w:val="24"/>
          <w:lang w:eastAsia="en-GB"/>
        </w:rPr>
        <w:t>The online submissions site only allows a single submission document and a single spreadsheet of referees to be uploaded for each practice area. If having uploaded it is absolutely necessary to make an amendment, please send the revised document to </w:t>
      </w:r>
      <w:hyperlink w:history="1" r:id="rId9">
        <w:r w:rsidRPr="00622761">
          <w:rPr>
            <w:rFonts w:ascii="Times New Roman" w:hAnsi="Times New Roman" w:eastAsia="Times New Roman" w:cs="Times New Roman"/>
            <w:color w:val="0000FF"/>
            <w:sz w:val="24"/>
            <w:szCs w:val="24"/>
            <w:u w:val="single"/>
            <w:lang w:eastAsia="en-GB"/>
          </w:rPr>
          <w:t>enquiries@chambers.com</w:t>
        </w:r>
      </w:hyperlink>
      <w:r w:rsidRPr="00622761">
        <w:rPr>
          <w:rFonts w:ascii="Times New Roman" w:hAnsi="Times New Roman" w:eastAsia="Times New Roman" w:cs="Times New Roman"/>
          <w:sz w:val="24"/>
          <w:szCs w:val="24"/>
          <w:lang w:eastAsia="en-GB"/>
        </w:rPr>
        <w:t> to inform our editorial assistants of the details of the revision.</w:t>
      </w:r>
    </w:p>
    <w:p w:rsidRPr="00622761" w:rsidR="00622761" w:rsidP="00622761" w:rsidRDefault="00622761" w14:paraId="217573AB"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en-GB"/>
        </w:rPr>
      </w:pPr>
      <w:r w:rsidRPr="00622761">
        <w:rPr>
          <w:rFonts w:ascii="Times New Roman" w:hAnsi="Times New Roman" w:eastAsia="Times New Roman" w:cs="Times New Roman"/>
          <w:sz w:val="24"/>
          <w:szCs w:val="24"/>
          <w:lang w:eastAsia="en-GB"/>
        </w:rPr>
        <w:t>If you do not have a username and password for your set, please contact our Enquiries Team.</w:t>
      </w:r>
    </w:p>
    <w:p w:rsidR="1AC924DE" w:rsidP="1AC924DE" w:rsidRDefault="1AC924DE" w14:noSpellErr="1" w14:paraId="391BC434" w14:textId="6AFEFCAB">
      <w:pPr>
        <w:pStyle w:val="Normal"/>
        <w:rPr>
          <w:lang w:val="en-US"/>
        </w:rPr>
      </w:pPr>
    </w:p>
    <w:sectPr w:rsidRPr="00622761" w:rsidR="00472F3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5713"/>
    <w:multiLevelType w:val="multilevel"/>
    <w:tmpl w:val="54FA6068"/>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2B7166E"/>
    <w:multiLevelType w:val="hybridMultilevel"/>
    <w:tmpl w:val="62A01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5BB5DC3"/>
    <w:multiLevelType w:val="hybridMultilevel"/>
    <w:tmpl w:val="A134A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E513B61"/>
    <w:multiLevelType w:val="multilevel"/>
    <w:tmpl w:val="9580EF6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 w16cid:durableId="482048414">
    <w:abstractNumId w:val="0"/>
  </w:num>
  <w:num w:numId="2" w16cid:durableId="1483038919">
    <w:abstractNumId w:val="3"/>
  </w:num>
  <w:num w:numId="3" w16cid:durableId="253166918">
    <w:abstractNumId w:val="1"/>
  </w:num>
  <w:num w:numId="4" w16cid:durableId="185849849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A0"/>
    <w:rsid w:val="00006E21"/>
    <w:rsid w:val="00087AA8"/>
    <w:rsid w:val="000C5905"/>
    <w:rsid w:val="001140D5"/>
    <w:rsid w:val="001F02D2"/>
    <w:rsid w:val="002475A0"/>
    <w:rsid w:val="002F0F52"/>
    <w:rsid w:val="00364EA4"/>
    <w:rsid w:val="0039377D"/>
    <w:rsid w:val="003B456B"/>
    <w:rsid w:val="00472F37"/>
    <w:rsid w:val="004840C5"/>
    <w:rsid w:val="00622761"/>
    <w:rsid w:val="00695B05"/>
    <w:rsid w:val="006C7886"/>
    <w:rsid w:val="00753526"/>
    <w:rsid w:val="00862067"/>
    <w:rsid w:val="008D2DD1"/>
    <w:rsid w:val="009A63FF"/>
    <w:rsid w:val="009C1B91"/>
    <w:rsid w:val="00A056C3"/>
    <w:rsid w:val="00B15EDC"/>
    <w:rsid w:val="00B61386"/>
    <w:rsid w:val="00BD284D"/>
    <w:rsid w:val="00BE5C4B"/>
    <w:rsid w:val="00C964FE"/>
    <w:rsid w:val="00D2376E"/>
    <w:rsid w:val="00D41545"/>
    <w:rsid w:val="00D94D5A"/>
    <w:rsid w:val="00DA4E7B"/>
    <w:rsid w:val="00DC036C"/>
    <w:rsid w:val="00DC60E7"/>
    <w:rsid w:val="00DE26D3"/>
    <w:rsid w:val="00F0366E"/>
    <w:rsid w:val="00F140DE"/>
    <w:rsid w:val="00F561AC"/>
    <w:rsid w:val="0815A137"/>
    <w:rsid w:val="0883FE87"/>
    <w:rsid w:val="0888B94C"/>
    <w:rsid w:val="092C0BF5"/>
    <w:rsid w:val="0A12E0CB"/>
    <w:rsid w:val="0A38F745"/>
    <w:rsid w:val="0F7EF356"/>
    <w:rsid w:val="11586593"/>
    <w:rsid w:val="122F2DF6"/>
    <w:rsid w:val="13CB6BF3"/>
    <w:rsid w:val="14F18F4A"/>
    <w:rsid w:val="16387590"/>
    <w:rsid w:val="16EF3695"/>
    <w:rsid w:val="19637778"/>
    <w:rsid w:val="19C64A13"/>
    <w:rsid w:val="19EB0776"/>
    <w:rsid w:val="1AC924DE"/>
    <w:rsid w:val="1BF30ACC"/>
    <w:rsid w:val="1CC5B7DC"/>
    <w:rsid w:val="1D8EDB2D"/>
    <w:rsid w:val="1E397C6E"/>
    <w:rsid w:val="1F43D70D"/>
    <w:rsid w:val="22D4A568"/>
    <w:rsid w:val="23A3D99C"/>
    <w:rsid w:val="25FCBFAD"/>
    <w:rsid w:val="26C5BFCD"/>
    <w:rsid w:val="2F9A462C"/>
    <w:rsid w:val="33E1BDEB"/>
    <w:rsid w:val="344DB36E"/>
    <w:rsid w:val="34DA3BA3"/>
    <w:rsid w:val="35C31638"/>
    <w:rsid w:val="36605C97"/>
    <w:rsid w:val="36A91E96"/>
    <w:rsid w:val="37E8D9F7"/>
    <w:rsid w:val="38A613B3"/>
    <w:rsid w:val="38B52F0E"/>
    <w:rsid w:val="3DBA1AD3"/>
    <w:rsid w:val="401CEE4A"/>
    <w:rsid w:val="42E02BA8"/>
    <w:rsid w:val="43ACF679"/>
    <w:rsid w:val="47165A1A"/>
    <w:rsid w:val="49BF47A1"/>
    <w:rsid w:val="4BA4CD00"/>
    <w:rsid w:val="505AB6DE"/>
    <w:rsid w:val="510DACAA"/>
    <w:rsid w:val="510DD3E8"/>
    <w:rsid w:val="544A6E6D"/>
    <w:rsid w:val="5616D2DD"/>
    <w:rsid w:val="577CEE2E"/>
    <w:rsid w:val="59DD58F1"/>
    <w:rsid w:val="5B792952"/>
    <w:rsid w:val="5C4872C6"/>
    <w:rsid w:val="5D5A9CE9"/>
    <w:rsid w:val="5FA15E63"/>
    <w:rsid w:val="61E86AD6"/>
    <w:rsid w:val="67A7D685"/>
    <w:rsid w:val="69297A42"/>
    <w:rsid w:val="6C489FF9"/>
    <w:rsid w:val="6D411DB1"/>
    <w:rsid w:val="6DE1D60C"/>
    <w:rsid w:val="73F90A32"/>
    <w:rsid w:val="75FC2A8A"/>
    <w:rsid w:val="76DFCF88"/>
    <w:rsid w:val="7C5795EE"/>
    <w:rsid w:val="7CC615AB"/>
    <w:rsid w:val="7CE1C1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6BA2"/>
  <w15:chartTrackingRefBased/>
  <w15:docId w15:val="{A89BC7DB-D6A5-464A-AAAB-10133B03E4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D28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22761"/>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22761"/>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62276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622761"/>
    <w:rPr>
      <w:b/>
      <w:bCs/>
    </w:rPr>
  </w:style>
  <w:style w:type="character" w:styleId="Hyperlink">
    <w:name w:val="Hyperlink"/>
    <w:basedOn w:val="DefaultParagraphFont"/>
    <w:uiPriority w:val="99"/>
    <w:semiHidden/>
    <w:unhideWhenUsed/>
    <w:rsid w:val="00622761"/>
    <w:rPr>
      <w:color w:val="0000FF"/>
      <w:u w:val="single"/>
    </w:rPr>
  </w:style>
  <w:style w:type="character" w:styleId="Heading1Char" w:customStyle="1">
    <w:name w:val="Heading 1 Char"/>
    <w:basedOn w:val="DefaultParagraphFont"/>
    <w:link w:val="Heading1"/>
    <w:uiPriority w:val="9"/>
    <w:rsid w:val="00BD284D"/>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B6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19448">
      <w:bodyDiv w:val="1"/>
      <w:marLeft w:val="0"/>
      <w:marRight w:val="0"/>
      <w:marTop w:val="0"/>
      <w:marBottom w:val="0"/>
      <w:divBdr>
        <w:top w:val="none" w:sz="0" w:space="0" w:color="auto"/>
        <w:left w:val="none" w:sz="0" w:space="0" w:color="auto"/>
        <w:bottom w:val="none" w:sz="0" w:space="0" w:color="auto"/>
        <w:right w:val="none" w:sz="0" w:space="0" w:color="auto"/>
      </w:divBdr>
      <w:divsChild>
        <w:div w:id="400521073">
          <w:marLeft w:val="0"/>
          <w:marRight w:val="0"/>
          <w:marTop w:val="0"/>
          <w:marBottom w:val="0"/>
          <w:divBdr>
            <w:top w:val="none" w:sz="0" w:space="0" w:color="auto"/>
            <w:left w:val="none" w:sz="0" w:space="0" w:color="auto"/>
            <w:bottom w:val="none" w:sz="0" w:space="0" w:color="auto"/>
            <w:right w:val="none" w:sz="0" w:space="0" w:color="auto"/>
          </w:divBdr>
        </w:div>
        <w:div w:id="2087654017">
          <w:marLeft w:val="0"/>
          <w:marRight w:val="0"/>
          <w:marTop w:val="0"/>
          <w:marBottom w:val="0"/>
          <w:divBdr>
            <w:top w:val="none" w:sz="0" w:space="0" w:color="auto"/>
            <w:left w:val="none" w:sz="0" w:space="0" w:color="auto"/>
            <w:bottom w:val="none" w:sz="0" w:space="0" w:color="auto"/>
            <w:right w:val="none" w:sz="0" w:space="0" w:color="auto"/>
          </w:divBdr>
        </w:div>
      </w:divsChild>
    </w:div>
    <w:div w:id="15598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ambers.com/research/research-schedul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enquiries@chambers.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191266DE41E43B1E3F05E6DF9AAFF" ma:contentTypeVersion="10" ma:contentTypeDescription="Create a new document." ma:contentTypeScope="" ma:versionID="e936e4b06826e4d7f04fa92c80b8dedb">
  <xsd:schema xmlns:xsd="http://www.w3.org/2001/XMLSchema" xmlns:xs="http://www.w3.org/2001/XMLSchema" xmlns:p="http://schemas.microsoft.com/office/2006/metadata/properties" xmlns:ns3="79cdf375-953f-4398-965d-e20bf67f3e5a" xmlns:ns4="7625a3eb-5133-4440-b6c1-283692001c17" targetNamespace="http://schemas.microsoft.com/office/2006/metadata/properties" ma:root="true" ma:fieldsID="250d8a50d6459a26f8ca09a3336c3148" ns3:_="" ns4:_="">
    <xsd:import namespace="79cdf375-953f-4398-965d-e20bf67f3e5a"/>
    <xsd:import namespace="7625a3eb-5133-4440-b6c1-283692001c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df375-953f-4398-965d-e20bf67f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5a3eb-5133-4440-b6c1-283692001c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A641F-1583-4EA8-9C9D-D81B239A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df375-953f-4398-965d-e20bf67f3e5a"/>
    <ds:schemaRef ds:uri="7625a3eb-5133-4440-b6c1-28369200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30246-5A62-44B6-82E3-9C20370008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E81FE-2957-4FEE-BDDB-8E4FDCEFAE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Kogan</dc:creator>
  <keywords/>
  <dc:description/>
  <lastModifiedBy>Nicholas Widdows</lastModifiedBy>
  <revision>20</revision>
  <dcterms:created xsi:type="dcterms:W3CDTF">2022-05-11T08:51:00.0000000Z</dcterms:created>
  <dcterms:modified xsi:type="dcterms:W3CDTF">2022-05-11T16:09:17.5111253Z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0x0101004AE191266DE41E43B1E3F05E6DF9AAFF</vt:lpwstr>
  </property>
</Properties>
</file>